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https://www.cnmc.es/expedientes/c042212</w:t>
      </w:r>
    </w:p>
    <w:p>
      <w:r>
        <w:t>Pages translated : 1</w:t>
      </w:r>
    </w:p>
    <w:p/>
    <w:p>
      <w:r>
        <w:rPr>
          <w:b/>
        </w:rPr>
        <w:t>[Pages 1–1]</w:t>
      </w:r>
    </w:p>
    <w:p>
      <w:r>
        <w:t>RESOLUTION (File C-0422/12, BANCO SABADELL/BANCO CAM)</w:t>
      </w:r>
    </w:p>
    <w:p>
      <w:r>
        <w:t>COUNCIL</w:t>
      </w:r>
    </w:p>
    <w:p>
      <w:r>
        <w:t xml:space="preserve">Mr. Joaquín García Bernaldo de Quirós, President  </w:t>
        <w:br/>
        <w:t xml:space="preserve">Ms. Pilar Sánchez Núñez, Vice President  </w:t>
        <w:br/>
        <w:t xml:space="preserve">Mr. Julio Costas Comesaña, Member  </w:t>
        <w:br/>
        <w:t xml:space="preserve">Ms. Mª Jesús González López, Member  </w:t>
        <w:br/>
        <w:t xml:space="preserve">Ms. Inmaculada Gutiérrez Carrizo, Member  </w:t>
        <w:br/>
        <w:t xml:space="preserve">Ms. Paloma Avila de Grado, Member  </w:t>
        <w:br/>
        <w:t>Mr. Luis Díez Martín, Member</w:t>
      </w:r>
    </w:p>
    <w:p>
      <w:r>
        <w:t>In Madrid, on February 8, 2012.</w:t>
      </w:r>
    </w:p>
    <w:p>
      <w:r>
        <w:t>Having reviewed the file processed in accordance with Law 15/2007, of July 3, on the Defense of Competition, concerning the concentration operation consisting of the exclusive control acquisition of BANCO CAM S.A. by BANCO DE SABADELL S.A. (File C/0422/12), and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