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https://www.cnmc.es/expedientes/c042312</w:t>
      </w:r>
    </w:p>
    <w:p>
      <w:r>
        <w:t>Pages translated : 1</w:t>
      </w:r>
    </w:p>
    <w:p/>
    <w:p>
      <w:r>
        <w:rPr>
          <w:b/>
        </w:rPr>
        <w:t>[Pages 1–1]</w:t>
      </w:r>
    </w:p>
    <w:p>
      <w:r>
        <w:t>RESOLUTION (File No. C-0423/12, PTT/PERSTORP)</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Ms. Paloma Avila de Grado, Councilor  </w:t>
        <w:br/>
        <w:t>Mr. Luis Díez Martín, Councilor</w:t>
      </w:r>
    </w:p>
    <w:p>
      <w:r>
        <w:t>In Madrid, on February 1, 2012.</w:t>
      </w:r>
    </w:p>
    <w:p>
      <w:r>
        <w:t>Having reviewed the file processed in accordance with Law 15/2007, of July 3, on the Defense of Competition, concerning the concentration operation consisting of the acquisition by PTT GLOBAL CHEMICAL PUBLIC COMPANY LIMITED of 51% of the share capital of PERSTORP HOLDING FRANCE S.A.S., which will be jointly controlled by PTTGC and PERSTORP HOLDING AB, (File No. C/0423/12), and in agreement with the report and proposal submitted by the Directorate of Investigation, the Council of the National Competition Commission has resolved, in application of Article 57.2.a) of the aforementioned Law, to authorize the said concentration operation in the first phase, except with respect to the duration of the non-competition, non-solicitation, and confidentiality agreements, which, to the extent that they exceed that of the participating company, would be outside of this operation and would therefore be subject to the regulations on agreements between companies.</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