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https://www.cnmc.es/expedientes/c042412</w:t>
      </w:r>
    </w:p>
    <w:p>
      <w:r>
        <w:t>Pages translated : 1</w:t>
      </w:r>
    </w:p>
    <w:p/>
    <w:p>
      <w:r>
        <w:rPr>
          <w:b/>
        </w:rPr>
        <w:t>[Pages 1–1]</w:t>
      </w:r>
    </w:p>
    <w:p>
      <w:r>
        <w:t>RESOLUTION (File C-0424/12, MERCAPITAL/ACS/CLECE)</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February 1, 2012.</w:t>
      </w:r>
    </w:p>
    <w:p>
      <w:r>
        <w:t>Having reviewed the file processed in accordance with Law 15/2007, of July 3, on the Defense of Competition, concerning the concentration operation consisting of the joint control acquisition of CLECE S.A. by MERCAPITAL PRIVATE EQUITY S.G.E.C.R. S.A.U., through various venture capital funds, and ACS ACTIVIDADES DE CONSTRUCCIÓN Y SERVICIOS S.A. (File C/0423/12), and being in agreement with the report and the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