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https://www.cnmc.es/expedientes/c043012</w:t>
      </w:r>
    </w:p>
    <w:p>
      <w:r>
        <w:t>Pages translated : 2</w:t>
      </w:r>
    </w:p>
    <w:p/>
    <w:p>
      <w:r>
        <w:rPr>
          <w:b/>
        </w:rPr>
        <w:t>[Pages 1–2]</w:t>
      </w:r>
    </w:p>
    <w:p>
      <w:r>
        <w:t xml:space="preserve">DIRECTORATE OF INVESTIGATION  </w:t>
        <w:br/>
        <w:t xml:space="preserve">REPORT AND PROPOSED RESOLUTION  </w:t>
        <w:br/>
        <w:t>FILE C/430/12 AGILE/SUPERSOL BUSINESS (of DINOSOL)</w:t>
      </w:r>
    </w:p>
    <w:p>
      <w:r>
        <w:t xml:space="preserve">I. BACKGROUND  </w:t>
        <w:br/>
        <w:t>1. On March 1, 2012, the notification of the concentration was received by the National Competition Commission, consisting of the acquisition by AGILE FINANCE, S.A. (AGILE), [...]1 of exclusive control over the SUPERSOL BUSINESS of DINOSOL SUPERMERCADOS S.L. (DINOSOL).</w:t>
      </w:r>
    </w:p>
    <w:p>
      <w:r>
        <w:t>2. This notification was made by AGILE, as established in Article 9 of Law 15/2007, of July 3, on the Defense of Competition, for exceeding the threshold established in letter a of Article 8.1 of the aforementioned regulation. This operation is subject to the provisions of Royal Decree 261/2008, of February 22, which approves the Defense Regulation of Competition.</w:t>
      </w:r>
    </w:p>
    <w:p>
      <w:r>
        <w:t>3. The deadline to agree to initiate the second phase of the procedure is April 2, 2012, inclusive. After this date, the notified operation will be considered tacitly authorized.</w:t>
      </w:r>
    </w:p>
    <w:p>
      <w:r>
        <w:t xml:space="preserve">II. APPLICABILITY OF LAW 15/2007 ON THE DEFENSE OF COMPETITION  </w:t>
        <w:br/>
        <w:t>4. The notified operation is an economic concentration in accordance with the provisions of Article 7.1.b) of the LDC.</w:t>
      </w:r>
    </w:p>
    <w:p>
      <w:r>
        <w:t>5. The operation does not fall within the scope of Regulation (EC) No. 139/2004 of the Council, of January 20, on the control of concentrations between undertakings, as the community turnover thresholds are not met.</w:t>
      </w:r>
    </w:p>
    <w:p>
      <w:r>
        <w:t>6. However, the notified operation meets the requirements established by Law 15/2007, of July 3, on the Defense of Competition for its notification, as the thresholds established in Article 8.1 a) of the same are exceeded and it meets the requirements set forth in Article 56.1 a) of the aforementioned regulation.</w:t>
      </w:r>
    </w:p>
    <w:p>
      <w:r>
        <w:t xml:space="preserve">III. PARTICIPATING COMPANIES  </w:t>
        <w:br/>
        <w:t>7. AGILE is an investment company incorporated under the laws of the Grand Duchy of Luxembourg, whose business group holds controlling interests in companies engaged in various commercial activities: (i) retail and wholesale trade of food and household products; (ii) wholesale sale of medicines and other pharmaceutical products; (iii) manufacturing of canned food for pets; (iv) real estate development and management; (v) building maintenance; (vi) event organization and catering.</w:t>
      </w:r>
    </w:p>
    <w:p>
      <w:r>
        <w:t>8. These commercial activities are carried out in Lithuania, Latvia, Estonia, Bulgaria, Poland, Romania, the Czech Republic, Slovakia, Ukraine, and Belarus.</w:t>
      </w:r>
    </w:p>
    <w:p>
      <w:r>
        <w:t>9. AGILE is ultimately controlled by [...].</w:t>
      </w:r>
    </w:p>
    <w:p>
      <w:r>
        <w:t>10. The SUPERSOL BUSINESS of DINOSOL2 consists of the retail distribution of daily consumer goods in a self-service format in the Iberian Peninsula, Ceuta, and Melilla, in the proximity supermarkets "Supersol" as well as its holdings in Superdistribución Ceuta, S.L., and Sevilla Seed Capital, S.A., a venture capital company. It is also present in the market for supplying daily consumer goods.</w:t>
      </w:r>
    </w:p>
    <w:p>
      <w:r>
        <w:t>11. Following the operation, DINOSOL will maintain the retail distribution business of daily consumer goods in the Canary Islands, [...].</w:t>
      </w:r>
    </w:p>
    <w:p>
      <w:r>
        <w:t xml:space="preserve">IV. ASSESSMENT OF THE OPERATION  </w:t>
        <w:br/>
        <w:t>12. This Directorate of Investigation considers that the present concentration does not pose a threat to effective competition in the markets, as there is no horizontal or vertical overlap between the parties in Spain, therefore the operation would not affect the competitive structure of any market.</w:t>
      </w:r>
    </w:p>
    <w:p>
      <w:r>
        <w:t xml:space="preserve">V. PROPOSAL  </w:t>
        <w:br/>
        <w:t>In light of all the above and by virtue of Article 57.1 of Law 15/2007, of July 3, on the Defense of Competition, it is proposed to authorize the concentration, in application of Article 57.2.a) of Law 15/2007, of July 3, on the Defense of Competition.</w:t>
      </w:r>
    </w:p>
    <w:p>
      <w:r>
        <w:t>2 DINOSOL is a Spanish limited company engaged in the retail and wholesale distribution of daily consumer goods in a self-service regime in Spain. DINOSOL currently has 456 points of sale located mainly in Madrid, Andalusia, and the Canary Islands.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