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https://www.cnmc.es/expedientes/c043112</w:t>
      </w:r>
    </w:p>
    <w:p>
      <w:r>
        <w:t>Pages translated : 1</w:t>
      </w:r>
    </w:p>
    <w:p/>
    <w:p>
      <w:r>
        <w:rPr>
          <w:b/>
        </w:rPr>
        <w:t>[Pages 1–1]</w:t>
      </w:r>
    </w:p>
    <w:p>
      <w:r>
        <w:t>RESOLUTION (File No. C-0431/12, PAPERSYSTEMS/KORBER)</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Mr. Luis Díez Martín, Councilor</w:t>
      </w:r>
    </w:p>
    <w:p>
      <w:r>
        <w:t>In Madrid, on March 28, 2012.</w:t>
      </w:r>
    </w:p>
    <w:p>
      <w:r>
        <w:t>Having reviewed the file processed in accordance with Law 15/2007, of July 3, on the Defense of Competition, regarding the concentration operation consisting of the acquisition of exclusive control by PAPERSYSTEMS HOLDING GMBH over the companies E.C.H. WILL GMBH, KUGLER-WOMAKO GMBH, PEMCO INC, and KORBER PAPERLING AMÉRICA LATINA LTDA., through the acquisition of all their shares, (File No. C/0431/12),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