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https://www.cnmc.es/expedientes/c043212</w:t>
      </w:r>
    </w:p>
    <w:p>
      <w:r>
        <w:t>Pages translated : 21</w:t>
      </w:r>
    </w:p>
    <w:p/>
    <w:p>
      <w:r>
        <w:rPr>
          <w:b/>
        </w:rPr>
        <w:t>[Pages 1–3]</w:t>
      </w:r>
    </w:p>
    <w:p>
      <w:r>
        <w:t>MINISTRY OF ECONOMY AND COMPETITIVENESS</w:t>
        <w:br/>
        <w:t>AGREEMENT AUTHORIZING THE ECONOMIC CONCENTRATION OPERATION ANTENA 3/LA SEXTA AND IMPOSING CONDITIONS ON IT</w:t>
        <w:br/>
        <w:t>The Council of Ministers adopts the following</w:t>
        <w:br/>
        <w:t>AGREEMENT</w:t>
        <w:br/>
        <w:t>First.- Authorize the concentration operation Antena 3/La Sexta (file C/0432/12 in the CNC and file CE-007/12 in the Ministry of Economy and Competitiveness).</w:t>
        <w:br/>
        <w:t>Second.- Subordinate the authorized operation to the fulfillment of the following conditions:</w:t>
        <w:br/>
        <w:t>a. First condition regarding television advertising</w:t>
        <w:br/>
        <w:t>a) The resulting entity may not enter into contracts for the management of advertising for third-party open television operators at the state, regional, or local level. Regarding the contracts that the resulting entity may have in force, on the date of adoption of this Agreement, with third-party open television operators at the state, regional, or local level for the management of advertising, in particular, those related to 13 TV and Marca TV, the resulting entity must limit the duration of these contracts to a maximum period of 6 months from the date of adoption of this Agreement.</w:t>
        <w:br/>
        <w:t>b) The resulting entity may not market through the same commercial offer ("commercial package") the advertising or any other form of television commercial communication of the two most-watched open channels among those it manages (hereinafter the main channels).</w:t>
        <w:br/>
        <w:t>c) The resulting entity may not market television advertising products that include open television channels whose combined audience exceeds 22%. For the purposes of determining the audience of each channel, every six months the average audience of the channel in the immediately preceding semester will be taken into account, according to the data provided by the company KANTAR MEDIA (or the company that replaces it in the functions of measuring television audience in Spain), referring to "total audience day," "total individuals," and "total Spain." For this obligation, it will be considered that the first reference semester for calculating the average audience takes place between January 1, 2012, and June 30, 2012.</w:t>
        <w:br/>
        <w:t>d) The resulting entity will publish at least quarterly its offer of television advertising products, which must include, at a minimum, the products necessary to guarantee the possibility of acquiring advertising spaces through products other than those individualized in each of the open television channels managed by the resulting entity.</w:t>
      </w:r>
    </w:p>
    <w:p>
      <w:r>
        <w:t>e) The resulting entity may not develop commercial policies and, in particular, pricing policies, that imply, formally or de facto, tied selling, directly or indirectly, to advertisers or media agencies of the different commercial advertising packages of television channels. The resulting entity will offer the possibility of purchasing any combination of the channels it manages, with the client having absolute freedom to distribute their investment as they deem appropriate according to their communication needs. The resulting entity will guarantee in each commercial period the existence of a sufficient offer of packages that effectively ensure compliance with this objective. Each package will have a price and a negotiation target, based on the audience and the market. The prices of each commercial package will be independent of each other and, therefore, will be subject to different negotiations.</w:t>
        <w:br/>
        <w:t>b. Second condition regarding open television</w:t>
        <w:br/>
        <w:t>It remains as approved by the Resolution of the Council of the National Competition Commission, of July 13, 2012, in the concentration file C/0432/12.</w:t>
        <w:br/>
        <w:t>c. Third condition regarding the acquisition of audiovisual content</w:t>
        <w:br/>
        <w:t>It remains as approved by the Resolution of the Council of the National Competition Commission, of July 13, 2012, in the concentration file C/0432/12. Notwithstanding, the deadlines mentioned in letters c), d), f), and h) shall be counted from the adoption of this Agreement.</w:t>
        <w:br/>
        <w:t>d. Fourth condition regarding periodic information reporting obligations</w:t>
        <w:br/>
        <w:t>The information supply obligations established in the fourth condition of the Resolution of the Council of the National Competition Commission, of July 13, 2012, in the concentration file C/0432/12, and which are included in Annex 1 of that Resolution, remain in force, with the modifications derived from the content established in this Agreement for the first condition. Specifically, letter a) of Annex 1 is worded as follows:</w:t>
        <w:br/>
        <w:t>a) In relation to the first condition, the resulting entity will send to the National Competition Commission:</w:t>
        <w:br/>
        <w:t>i. Within a maximum period of one month from the approval of this Agreement, a copy of the documents that prove the reduction of the duration of the contracts signed with third-party open television operators at the state, regional, or local level for the management of their advertising.</w:t>
        <w:br/>
        <w:t>ii. Within a maximum period of ten days from the end of each reference semester for the purposes of calculating the average audience of the open television channels managed by the resulting entity, the average audience of each of these open television channels. The first information submission must be made, exceptionally, within ten days from the adoption of this Agreement.</w:t>
        <w:br/>
        <w:t>iii. Within ten days from its publication, a copy of each of the offers of television advertising products published by the resulting entity since the adoption of this Agreement.</w:t>
        <w:br/>
        <w:t>iv. On a semi-annual basis, the following information in paper and Excel format:</w:t>
        <w:br/>
        <w:t>• For each of the marketed open television channels, the number of GRP’s 20” marketed and conventional advertising revenues, broken down into base revenue from advertising sold at GRP cost, advertising sold at discount, and revenues from operational surcharges and qualitative elements.</w:t>
        <w:br/>
        <w:t>• For each of the marketed television advertising products, the number of GRP’s 20” marketed and conventional advertising revenues, broken down into base revenue from advertising sold at GRP cost, advertising sold at discount, and revenues from operational surcharges and qualitative elements.</w:t>
        <w:br/>
        <w:t>• For each of the marketed open television channels, unconventional advertising revenues broken down by type of product (sponsorships, telepromotion, product placement, etc.).</w:t>
        <w:br/>
        <w:t>• For each of the marketed open television channels, the number of GRP’s and conventional advertising revenues from advertisers who have acquired conventional advertising only on that channel, for a specific advertising campaign.</w:t>
        <w:br/>
        <w:t>• For each of the marketed open television channels, monthly data on the number of minutes of advertising marketed and an estimate of the advertising saturation level of the channel, distinguishing the prime time period (8:30 PM - 12:00 AM) from other periods. This information will be provided within a maximum period of two months from the end of each reference semester. The first reference semester will be understood to end on December 31, 2012.</w:t>
        <w:br/>
        <w:t>v. Within ten days from its formalization, a copy of the legal transactions regarding its audiovisual communication licenses provided for in Article 29 of Law 7/2010, of March 31, General Audiovisual Communication, that the resulting entity has formalized. Letters b) and c) of Annex 1 regarding periodic information obligations of the resulting entity remain in the wording approved by the Resolution of the Council of the National Competition Commission, of July 13, 2012, in the concentration file.</w:t>
      </w:r>
    </w:p>
    <w:p>
      <w:r>
        <w:rPr>
          <w:b/>
        </w:rPr>
        <w:t>[Pages 4–6]</w:t>
      </w:r>
    </w:p>
    <w:p>
      <w:r>
        <w:t>C70432/12. Notwithstanding, the deadlines mentioned in letters b) and c) of Annex 1 shall be counted from the adoption of this Agreement.</w:t>
      </w:r>
    </w:p>
    <w:p>
      <w:r>
        <w:t>e. Fifth condition regarding the term of validity of the conditions</w:t>
        <w:br/>
        <w:t>These conditions shall have an initial duration of three years from the adoption of this Agreement. After this period, the National Competition Commission will assess whether there has been a significant change in the structure or regulation of the considered markets that justifies the maintenance, adjustment, or elimination of the conditions for an additional period of two years.</w:t>
      </w:r>
    </w:p>
    <w:p>
      <w:r>
        <w:t>Third.- In accordance with Article 41.1 of Law 15/2007, of July 3, on the Defense of Competition, it shall be the responsibility of the National Competition Commission to monitor the conditions imposed by this Agreement in the terms provided therein.</w:t>
      </w:r>
    </w:p>
    <w:p>
      <w:r>
        <w:t>EXPOSITION</w:t>
        <w:br/>
        <w:t>First.- On July 13, 2012, and in accordance with the provisions of Article 58.5 of Law 15/2007, of July 3, on the Defense of Competition (hereinafter LDC), the National Competition Commission (hereinafter CNC) notified the Minister of Economy and Competitiveness of the Resolution of its Council in the concentration file C/0432/12, ANTENA 3/LA SEXTA (economic concentration operation consisting of the acquisition by Antena 3 de Televisión S.A. of the exclusive control of Gestora de Inversiones Audiovisuales La Sexta S.A. through the purchase of 100% of its share capital). This operation had been referred by the European Commission for its complete examination under Spanish competition law by Decision dated March 14, 2012.</w:t>
      </w:r>
    </w:p>
    <w:p>
      <w:r>
        <w:t>Second.- Following the submission by Antena 3 of several proposals for commitments to resolve the competition problems identified in the in-depth investigation (which were deemed insufficient), the Council of the CNC, in application of Article 58.4.b) of the LDC, subordinated the authorization of the concentration to the fulfillment of five conditions regarding television advertising, open television, and the acquisition of audiovisual content imposed for a period of 5 years, allowing the resulting entity to request, with justification, the modification of the content of these conditions in the event of a significant change in the structure or regulation of the considered markets. The CNC has indicated that the ex ante conditions imposed on the concentration do not exhaust or exclude the intervention powers it proposes to exercise ex post to resolve the competition problems it identifies in the markets examined in connection with the operation.</w:t>
      </w:r>
    </w:p>
    <w:p>
      <w:r>
        <w:t>Third.- Antena 3 considers that the conditions imposed by the CNC render the concentration operation de facto unviable by curtailing the company's ability to compete in the market. The company has communicated as a relevant fact to the CNMV, on July 17, 2012, the unviability of the operation if the conditions imposed by the CNC are maintained.</w:t>
      </w:r>
    </w:p>
    <w:p>
      <w:r>
        <w:t>Fourth.- According to the provisions of the Agreement of the Government Delegated Commission for Economic Affairs of February 6, 2009, which specifies the actions of the Ministerial Departments regarding economic concentrations, on July 16, 2012, the General Subdirectorate of Competition and Economic Regulation of the General Directorate of Economic Policy communicated the entry of the resolution of the CNC Council of July 13, 2012, to the Technical General Secretariats of the Ministries of the Presidency, Industry, Energy and Tourism, and Finance and Public Administrations, in case they appreciated the existence of any general interest that should elevate the operation to the Council of Ministers.</w:t>
      </w:r>
    </w:p>
    <w:p>
      <w:r>
        <w:t>Fifth.- In view of the documentation sent by the General Subdirectorate of Competition and Economic Regulation regarding the concentration operation, the Ministry of Industry, Energy and Tourism requested the Minister of Economy and Competitiveness to issue a resolution to elevate the decision regarding the Antena 3/La Sexta concentration operation to the Council of Ministers, as there were circumstances of general interest related essentially to the guarantee of adequate maintenance of the objectives of sectoral regulation, as well as the promotion of research and technological development.</w:t>
      </w:r>
    </w:p>
    <w:p>
      <w:r>
        <w:t>Sixth.- Within the time frame established for this purpose in Article 36.3 of the LDC, on July 30, the Minister of Economy and Competitiveness issued an Order agreeing to elevate the aforementioned operation to the Council of Ministers, an order that was communicated to the CNC and notified to the interested parties on the same date.</w:t>
      </w:r>
    </w:p>
    <w:p>
      <w:r>
        <w:t>Seventh.- On July 31, 2012, the General Subdirectorate of Competition and Economic Regulation of the Ministry of Economy and Competitiveness requested from the Technical General Secretariat of the Ministry of Industry, Energy and Tourism a report detailing the reasons of general interest other than the safeguarding of competition that, according to Article 10 of the LDC, justified the decision by the Council of Ministers with specification of the conditions to be imposed, if applicable, and the proposal regarding the body responsible for monitoring compliance.</w:t>
      </w:r>
    </w:p>
    <w:p>
      <w:r>
        <w:t>Eighth.- On August 3, the aforementioned Technical General Secretariat sent the requested report.</w:t>
      </w:r>
    </w:p>
    <w:p>
      <w:r>
        <w:t>Ninth.- According to Article 36.4 of the LDC, the maximum period for adopting and notifying the Agreement of the Council of Ministers in the concentration control procedure shall be one month from the resolution of the Minister of Economy and Competitiveness to elevate the operation to the Council of Ministers. According to the computation procedure of Article 48 of Law 30/1992, of November 26, on the Legal Regime of Public Administrations and the Common Administrative Procedure, this one-month period for adopting and notifying the Agreement ends on August 31.</w:t>
      </w:r>
    </w:p>
    <w:p>
      <w:r>
        <w:t>APPRAISAL OF THE REASONS OF GENERAL INTEREST. GUARANTEE OF ADEQUATE MAINTENANCE OF THE OBJECTIVES OF SECTORAL REGULATION</w:t>
        <w:br/>
        <w:t>Preliminary Issues</w:t>
        <w:br/>
        <w:t>As an introductory note, it is necessary to highlight the effect that the conditions imposed by the CNC to safeguard competition have on the analyzed operation.</w:t>
      </w:r>
    </w:p>
    <w:p>
      <w:r>
        <w:t>In this sense, as evidenced by the relevant fact communicated by Antena 3 to the CNMV on July 17, the conditions imposed by the CNC render the operation unviable in the opinion of the acquirer, thus producing, de facto, the same effect as the denial of authorization.</w:t>
      </w:r>
    </w:p>
    <w:p>
      <w:r>
        <w:t>[…].</w:t>
        <w:br/>
        <w:t>[…].</w:t>
        <w:br/>
        <w:t>Thus, the concentration operation exerts its effects in the audiovisual sector, which is a sector of general interest that, due to the technological evolution of electronic communications, has a substantial impact on a strategic sector, also classified as of general interest, such as telecommunications. Given that both sectors have significant external effects on the overall economy and technological innovation, it is necessary to analyze the impact of the operation on other objectives of general interest, among which are the</w:t>
      </w:r>
    </w:p>
    <w:p>
      <w:r>
        <w:rPr>
          <w:b/>
        </w:rPr>
        <w:t>[Pages 7–9]</w:t>
      </w:r>
    </w:p>
    <w:p>
      <w:r>
        <w:t>established in the sectoral regulation, which could be compromised by the withdrawal of the parties in the operation, which is carried out below.</w:t>
      </w:r>
    </w:p>
    <w:p>
      <w:r>
        <w:t>Terrestrial television is a regulated market based on the granting of audiovisual licenses limitedly regulated by the competent authority. The granting of these is based on the principle of authority, under which the competent authority grants the exploitation of a part of the radio spectrum to a specific operator for the provision of television service on an exclusive basis regarding the assigned frequencies. In the granting of audiovisual licenses, Public Administrations must ensure the achievement of public interests, such as political and informational pluralism, the protection of consumer rights, the contribution to technological development, etc.</w:t>
      </w:r>
    </w:p>
    <w:p>
      <w:r>
        <w:t>However, the configuration and structure of the radio spectrum are fundamental for achieving general interest objectives distinct from competition, such as, in the audiovisual sector, informational pluralism, and in the telecommunications sector, its capacity to generate positive external effects through technological innovation. In this sense, given that the radio spectrum is a scarce public good, licenses act as a non-reproducible input, which conditions the structure of the market.</w:t>
      </w:r>
    </w:p>
    <w:p>
      <w:r>
        <w:t>Therefore, the intervention of the Council of Ministers in the operation is based on the need to protect general interests pursued by the Administration since the very granting of the licenses and that are indirectly affected by the imposition of asymmetric conditions in a related market, the advertising market, which is the main source of income for licensees.</w:t>
      </w:r>
    </w:p>
    <w:p>
      <w:r>
        <w:t>Applicable legal regime</w:t>
        <w:br/>
        <w:t>Article 10 of the LDC sets forth, in a non-exhaustive manner, the substantive criteria that must be taken into account in the assessment of concentration operations. These criteria ensure the protection of the set of general interests affected by the operations subject to control, the safeguarding of which is attributed to the CNC and the Council of Ministers according to the nature of those interests.</w:t>
      </w:r>
    </w:p>
    <w:p>
      <w:r>
        <w:t>In this way, the balance between the different general interests involved in these operations is ensured: the defense of competition, which, in the terms of the explanatory memorandum of the LDC, “has consolidated as one of the main elements of economic policy” that “[I]n the context of supply policies complements other actions of economic activity regulation…” and this within a framework of coherence characterized by an “adequate interweaving of the different institutional levels that interact in this area.”</w:t>
      </w:r>
    </w:p>
    <w:p>
      <w:r>
        <w:t>This translates, according to the same Explanatory Memorandum, into the fact that, in terms of the criteria that must govern the substantive assessment of concentration operations, “the law clearly separates those that will guide the decision-making by the National Competition Commission, focused on maintaining effective competition in the markets, from those on which the intervention of the Government may be based, related to the protection of the general interests of society.”</w:t>
      </w:r>
    </w:p>
    <w:p>
      <w:r>
        <w:t>Thus, the CNC is responsible for the assessment and, therefore, the evaluation based on the strict criteria of competition safeguarding, while the Law grants the Council of Ministers the power to evaluate the operations it examines according to general interest criteria different from that safeguarding, some of which are enumerated non-exhaustively in the aforementioned article 10.</w:t>
      </w:r>
    </w:p>
    <w:p>
      <w:r>
        <w:t>Specifically, article 10.4 of the LDC lists the promotion of research and technological development (letter e) of section 4) and the guarantee of the adequate maintenance of the objectives of sectoral regulation (letter f) of the same section).</w:t>
      </w:r>
    </w:p>
    <w:p>
      <w:r>
        <w:t>This regime mimics, for concentration operations that must be evaluated according to our internal legislation for not being within the competence of the European Commission, the applicable regime in the context of community dimension concentrations subject to the control of the European Commission under Council Regulation (EC) No. 139/2004 of January 20, 2004, on the control of concentrations between undertakings (Community concentration regulation).</w:t>
      </w:r>
    </w:p>
    <w:p>
      <w:r>
        <w:t>This regulatory text preserves the competence of the Member States to assess the concurrence of legitimate interests distinct from those considered by the European Commission when evaluating a concentration operation. Thus, its recital (19) indicates that “[O]n the other hand, the exclusive application of this Regulation…does not prevent Member States from adopting the necessary measures to ensure the protection of legitimate interests other than those taken into account in this Regulation, provided that such measures are compatible with the general principles and other provisions of Community law.”</w:t>
      </w:r>
    </w:p>
    <w:p>
      <w:r>
        <w:t>It is important to highlight, for what is of interest here, that even within the framework of operations exclusively under the competence of the European Commission, article 21.4 of the Community concentration regulation expressly mentions among the objectives it considers legitimate per se, the protection of media plurality.</w:t>
      </w:r>
    </w:p>
    <w:p>
      <w:r>
        <w:t>First.- Sectoral objectives to protect</w:t>
        <w:br/>
        <w:t>The objectives of sectoral regulation in the matter derive both from the provisions of the set of Directives that constitute the so-called “Telecom Package,” incorporated into our legal system by Law 32/2003, of November 3, General Telecommunications Law, and from Directive 2010/13/EU of the European Parliament and of the Council, of March 10, 2010, on the coordination of certain legal, regulatory, and administrative provisions of the Member States relating to the provision of audiovisual media services (hereinafter, “Audiovisual Services Directive”), incorporated through Law 7/2010, of March 31, General Audiovisual Communication Law.</w:t>
      </w:r>
    </w:p>
    <w:p>
      <w:r>
        <w:t>It is important to highlight, as has been stated, that in both cases, audiovisual and electronic communications, these are services classified as of general interest. Such characterization derives from the consideration that they involve legal goods of special significance for society as a whole that require, within the framework of their provision in free competition, the intervention of public authorities to guarantee them to the extent that the pure structure and/or dynamics of the market do not serve their achievement. These are public interests such as the protection of the rights of citizens, of the end customers of these services, or of economic or cultural policy objectives whose protection must be guaranteed through instruments distinct from the safeguarding of competition.</w:t>
      </w:r>
    </w:p>
    <w:p>
      <w:r>
        <w:t>Law 32/2003, of November 3, General Telecommunications Law, establishes in its article 3 the objectives of the Law, among which the following are relevant for the case under study:</w:t>
        <w:br/>
        <w:t>- Promote the development of the telecommunications sector, as well as the use of new services and the deployment of networks, fostering connectivity and end-to-end interoperability of electronic communications networks and services and access to them, on equal terms, and promote territorial, economic, and social cohesion (letter c).</w:t>
        <w:br/>
        <w:t>- Enable the effective use of limited telecommunications resources, such as numbering and the radio spectrum, and the adequate protection of the latter, and access to the rights of occupation of public and private property (letter d).</w:t>
        <w:br/>
        <w:t>- Promote the development of the industry of telecommunications products and services (letter h).</w:t>
      </w:r>
    </w:p>
    <w:p>
      <w:r>
        <w:t>For its part, Law 7/2010, of March 31, General Audiovisual Communication Law, enshrines as objectives, on the one hand, in its article 4, the right to receive plural audiovisual communication establishing that “All persons have the right to audiovisual communication being provided through a plurality of media, both public, commercial, and community that reflect the ideological, political, and cultural pluralism of society. Furthermore, all persons have the right to audiovisual communication being provided through a diversity of sources and contents and to the existence of different coverage areas, in accordance with the territorial organization of the State. This plural provision must ensure audiovisual communication whose programming includes different genres and addresses the diverse interests of society, especially when it is provided through publicly owned providers.”</w:t>
      </w:r>
    </w:p>
    <w:p>
      <w:r>
        <w:t>All these objectives must be examined for the assessment of the analyzed operation.</w:t>
      </w:r>
    </w:p>
    <w:p>
      <w:r>
        <w:t>1. Objectives of the sectoral regulation of electronic communications: ensuring the execution of the Digital Dividend Release Plan.</w:t>
        <w:br/>
        <w:t>The main objectives of the affected sectoral regulation are related, first of all, to the execution of the Digital Dividend Release Plan.</w:t>
      </w:r>
    </w:p>
    <w:p>
      <w:r>
        <w:t>The better management of the radio spectrum, ensuring its availability both for the provision of television services with digital technology and for the development of fourth-generation mobile communications services is an objective enshrined in the community and national regulatory framework of electronic communications.</w:t>
      </w:r>
    </w:p>
    <w:p>
      <w:r>
        <w:t>The fact that digital terrestrial television allows for better utilization of the radio spectrum has driven the policy of releasing the digital dividend: in a radio channel that allowed broadcasting a single analog program, 4 or even 6 digital programs of equivalent quality can now be transmitted, or between 3 and 4 high definition programs, in what has been called a multiple channel or MUX. Thus, while maintaining the television offer, a part of the television band (470-862 MHz) can be released and used for mobile phone services, achieving a significant impact on the economy.</w:t>
      </w:r>
    </w:p>
    <w:p>
      <w:r>
        <w:rPr>
          <w:b/>
        </w:rPr>
        <w:t>[Pages 10–12]</w:t>
      </w:r>
    </w:p>
    <w:p>
      <w:r>
        <w:t>European Union. The operators Movistar, Vodafone, and Orange, as beneficiaries of the digital dividend, are obliged by the conditions of the auction of these frequency bands to jointly complete, before January 1, 2020, a network deployment in order to achieve coverage that allows access to a speed of 30 megabits per second (Mbits) or higher, to at least 90 percent of the citizens in population units of less than 5,000 inhabitants. This will represent coverage of 98% of the total Spanish population. Spain must anticipate as much as possible the date on which these bands will be available for fourth-generation mobile networks so as not to delay their deployment compared to other countries in the European Union.</w:t>
      </w:r>
    </w:p>
    <w:p>
      <w:r>
        <w:rPr>
          <w:b/>
        </w:rPr>
        <w:t>[Pages 13–15]</w:t>
      </w:r>
    </w:p>
    <w:p>
      <w:r>
        <w:t>UE, generating an advantage for our companies and citizens: fourth generation mobile telephony is already deployed and commercially operational in competing countries such as Germany, Sweden, or Norway, and in other countries, it is already in the deployment phase.</w:t>
      </w:r>
    </w:p>
    <w:p>
      <w:r>
        <w:t>The Council of Ministers on April 27, 2012, approved the National Reform Program of Spain 2012, and its submission to the European Union. In section 74 of this Program, the objective is stated to adapt the Framework Plan for the release of the digital dividend to the new budgetary situation, and to achieve the previously indicated general interest objectives. The following measures are also identified:</w:t>
      </w:r>
    </w:p>
    <w:p>
      <w:r>
        <w:t>1. The redesign of the frequency plan assigned to television broadcasters to reduce the total space occupied.</w:t>
        <w:br/>
        <w:t>2. The adaptation of the transition plan to the new frequency plan with a significant reduction in public investment in antenna installation, simulcast, and public communication.</w:t>
      </w:r>
    </w:p>
    <w:p>
      <w:r>
        <w:t>For all these reasons, along with this Agreement, the Government simultaneously adopts the approval of the Plan to promote digital terrestrial television and technological innovation.</w:t>
      </w:r>
    </w:p>
    <w:p>
      <w:r>
        <w:t>To carry out this Plan, it is necessary to review the conditions established in the current regulation regarding the organization of multiple channels. In fact, the frequency plan assigned to television broadcasters will be redesigned to reduce the total space occupied based on a scenario that establishes networks for which coverage objectives will be set, taking into account existing coverages and the nature of the emissions to be made. Similarly, the number of channels in each digital multiplex will be reviewed to achieve a more efficient use of the spectrum. Additionally, the offer of high-quality television broadcasts and other innovations in the field of digital television will be promoted.</w:t>
      </w:r>
    </w:p>
    <w:p>
      <w:r>
        <w:t>Such objectives require the preparation of a new national technical plan for digital terrestrial television, the definition of the allocation scenario of multiplexes to television operators, the establishment of a minimum offer and schedule for broadcasting high-definition channels, and a new action plan for the release of the aforementioned dividend. The Ministry of Industry, Energy and Tourism will present the regulatory measures for the execution of the aforementioned Promotion Plan within three months.</w:t>
      </w:r>
    </w:p>
    <w:p>
      <w:r>
        <w:t>In particular, the Ministry of Industry, Energy and Tourism has been working on a new action plan for the release of the digital dividend in order to achieve the following general interest objectives:</w:t>
      </w:r>
    </w:p>
    <w:p>
      <w:r>
        <w:t>a) Minimize the impact and inconvenience to citizens.</w:t>
        <w:br/>
        <w:t>b) Limit the overall cost of the process for citizens, television service providers, and its budgetary impact.</w:t>
        <w:br/>
        <w:t>c) Reduce the risk of the process for television service providers, minimizing channel changes as much as possible, and maximizing the installation of the planned MUX.</w:t>
        <w:br/>
        <w:t>d) Promote the development of High Definition (HD) Television, which will facilitate better communication of the Plan to society and allow for the utilization of the existing park of more than 12 million HD-TV receivers in our country.</w:t>
      </w:r>
    </w:p>
    <w:p>
      <w:r>
        <w:t>e) Anticipate and facilitate the transition to new technological solutions for digital television DVB-T2 and anticipate solutions that minimize the impact on citizens and the television sector of a potential second digital dividend (DD2) that may arise in the future.</w:t>
        <w:br/>
        <w:t>f) Advance the implementation of 4G mobile telephony, favoring investment and innovation.</w:t>
        <w:br/>
        <w:t>g) Limit the impact on the industry and service providers (equipment manufacturers, installers, and operators of television signal transport and broadcasting services).</w:t>
      </w:r>
    </w:p>
    <w:p>
      <w:r>
        <w:t>Achieving these general interest objectives requires a significant simplification of the Plan for the release of the digital dividend in order to reduce the costs associated with the process and to advance its completion by one year, which, in the current economic situation and considering the economic impact of the release of the digital dividend, would have a positive effect on economic activity, which is particularly relevant in the current context of recession.</w:t>
      </w:r>
    </w:p>
    <w:p>
      <w:r>
        <w:t>Additionally, this advancement will facilitate compliance with the objectives established in the first Spectrum Policy Program approved by the Decision of the European Parliament and the Council of February 15, 2012.</w:t>
      </w:r>
    </w:p>
    <w:p>
      <w:r>
        <w:t>One of the fundamental aspects to carry out this new action plan for the release of the digital dividend is to reach an agreement with the holders of television licenses, and it is necessary to finalize them as soon as possible in order not to jeopardize the possibility of advancing the release of the digital dividend by one year.</w:t>
      </w:r>
    </w:p>
    <w:p>
      <w:r>
        <w:t>It should be noted that success in the execution of the new action plan for the release of the digital dividend, and the achievement of the aforementioned general interest objectives, through a rapid implementation at the lowest cost, requires the active collaboration of public and private television service providers. And a context in which uncertainties associated with the evolution of current license-holding operators that could delay the process directly or indirectly are eliminated.</w:t>
      </w:r>
    </w:p>
    <w:p>
      <w:r>
        <w:t>For this, symmetrical regulatory conditions are necessary to ensure that all operators face, depending on their size (determined by their capacity to access the radio spectrum), equivalent limitations and conditions in assuming the corresponding costs that the implementation of the digital dividend entails.</w:t>
      </w:r>
    </w:p>
    <w:p>
      <w:r>
        <w:t>In this sense, since advertising is the main source of operating income for free-to-air televisions, the conditions for advertising exploitation must also respond to criteria as symmetrical as possible for operators of equivalent size. Otherwise, heterogeneous conditions would be established on the revenue side, while, on the cost side, all televisions must assume homogeneous commitments based on their size, putting some operators at a disadvantage compared to others.</w:t>
      </w:r>
    </w:p>
    <w:p>
      <w:r>
        <w:t>On the other hand, the size of the operators plays a particularly relevant role in ensuring the viability of the entire process. A scenario with the presence of larger television operators is particularly favorable for achieving the objectives of the new Plan and, in particular, for ensuring that the date on which the digital dividend will be available to allow the deployment of fourth generation mobile networks can be advanced, with the benefits that this will bring for the competitiveness of our economy.</w:t>
      </w:r>
    </w:p>
    <w:p>
      <w:r>
        <w:t>In this regard, as noted, the two essential aspects of the new Plan involve a reorganization of channels and the spectrum available for digital television service, and a boost to the offer of channels with high-definition and high-quality content that will stimulate the adaptation of reception facilities by citizens and the assumption of the associated costs.</w:t>
      </w:r>
    </w:p>
    <w:p>
      <w:r>
        <w:t>In the case of national private television, there are currently six licenses and five operators. Mediaset, after its concentration with Cuatro in December 2010, operates two licenses, while each of the other operators operates one license. Operators that exploit two licenses have greater flexibility to organize the broadcasting of their channels and assume modifications in their spectrum availability. In particular, they can maximize the benefits of statistical multiplexing technology, which allows for the dynamic accommodation of the transmission speed of each channel based on the content broadcast at any given moment in order to optimize quality and efficiency in the use of the capacity of the multiplex channel. This technology reaches its maximum efficiency when operators manage a greater number of channels and a larger amount of spectrum. This facilitates, on one hand, improvements in signal quality and, on the other, the introduction of complementary services to television, such as connected television (which allows internet connection, on-demand television services, and the deployment of a multitude of interactive services).</w:t>
      </w:r>
    </w:p>
    <w:p>
      <w:r>
        <w:t>Currently, the standards for this type of service are being completed, in particular, the HbbTV (Hybrid Broadcast Broadband TV) standard proposed by the industry. This standard provides a technologically neutral platform that will facilitate the development of different business models for the exploitation of such services, such as those based on new forms of advertising market associated with connected television.</w:t>
      </w:r>
    </w:p>
    <w:p>
      <w:r>
        <w:t>Similarly, larger operators are in a better position to introduce technological innovations in part of the channels they are exploiting. They have a greater variety and quantity of content broadcasting rights, which facilitates the development of channels with attractive high-definition content of high quality, in which the advantages of broadcasting with these innovative technologies can be maximized. A consolidation process like the one proposed in the concentration operation significantly increases the operators' capacity to undertake the necessary investments to carry out the technological transitions in the field of DTT and, in particular, to implement the aforementioned connected television services and the future implementation of the DVB-T2 standard.</w:t>
      </w:r>
    </w:p>
    <w:p>
      <w:r>
        <w:t>Therefore, it is particularly relevant for the success of the digital dividend release process to ensure that the analyzed concentration operation is completed. In this way, the unfeasibility of the projected operation as a result of the conditions imposed by the CNC negatively affects the organization of the sector. De facto, it prevents the consolidation of the involved operators into an operator with a certain capacity to face the process both in economic and technical terms. And with this, on the other hand, it forces participation in the accelerated digital dividend release process and the adoption of new technologies, without the initially planned public budget support, of an agent in conditions […].</w:t>
      </w:r>
    </w:p>
    <w:p>
      <w:r>
        <w:rPr>
          <w:b/>
        </w:rPr>
        <w:t>[Pages 16–18]</w:t>
      </w:r>
    </w:p>
    <w:p>
      <w:r>
        <w:t>In effect, the existence of fewer operators, but of larger size, facilitates a more efficient management of the spectrum by television operators. Furthermore, the acceleration of the process, which depends on the capacity of the television operators present in the market, brings forward the availability of that spectrum for the provision of fourth-generation mobile communication services, which are crucial for the development of broadband and the competitiveness of the economy.</w:t>
      </w:r>
    </w:p>
    <w:p>
      <w:r>
        <w:t>2.- Sectoral objectives linked to the audiovisual sector: guarantee of media pluralism.</w:t>
        <w:br/>
        <w:t>A second sectoral objective is related to the guarantee of informational pluralism, a priority included in the sectoral regulation, understood as the concurrence of a plurality of potentially opposing and non-homogenized communication instruments, as well as the free concurrence of ideas and currents of opinion that differentiate one concessionaire from another. The Council of Europe and European regulations indicate in this regard that the notion of pluralism must be understood as a diversity of independent and autonomous media, as well as content, available to the public.</w:t>
      </w:r>
    </w:p>
    <w:p>
      <w:r>
        <w:t>The choice would not be effective if the public to whom the media are directed were not in a position to access programs that guarantee the expression of diverse trends. The sectoral objectives in this area derive from what is established in Directive 2010/13/EU of the European Parliament and of the Council, of March 10, 2010, on the coordination of certain legal, regulatory, and administrative provisions of the Member States regarding the provision of audiovisual communication services (Audiovisual Media Services Directive).</w:t>
      </w:r>
    </w:p>
    <w:p>
      <w:r>
        <w:t>The Directive establishes in its recital (10) that “Traditional audiovisual communication services —such as television— and the emerging on-demand audiovisual communication services are potential sources of employment in the Union, especially in small and medium-sized enterprises, and stimulate economic growth and investment,” and in (12) it recalls that “On December 15, 2003, the Commission approved a Communication on the future of European regulatory policy in the audiovisual sector, which emphasizes that the regulation policy of the sector must protect, both now and in the future, certain public interests, such as cultural diversity, the right to information, and media pluralism (…..)”</w:t>
      </w:r>
    </w:p>
    <w:p>
      <w:r>
        <w:t>This Directive has been incorporated into our legal system by Law 7/2010, of March 31, General Audiovisual Communication, which introduces a new regulatory framework for audiovisual communication as a whole and, in particular, for commercial communication, as a right recognized for audiovisual communication service providers, creating a legal regime based on the liberalization of service provision, taking into account that these are developed in a plural, open, and competitive market.</w:t>
      </w:r>
    </w:p>
    <w:p>
      <w:r>
        <w:t>This Law, in its Article 4, enshrines the right to receive plural audiovisual communication establishing that “All persons have the right to audiovisual communication provided through a plurality of media, both public, commercial, and community that reflect the ideological, political, and cultural pluralism of society. Furthermore, all persons have the right to audiovisual communication provided through a diversity of sources and content and to the existence of different coverage areas, in accordance with the territorial organization of the State. This plural provision must ensure audiovisual communication whose programming includes different genres and addresses the diverse interests of society, especially when carried out through public ownership providers.”</w:t>
      </w:r>
    </w:p>
    <w:p>
      <w:r>
        <w:t>This plural provision must ensure, consequently, audiovisual communication whose programming includes different genres and addresses the diverse interests of society, especially when carried out through public ownership providers, as well as the protection of European and Spanish audiovisual works in their different languages.</w:t>
      </w:r>
    </w:p>
    <w:p>
      <w:r>
        <w:t>In service of this objective, the law regulates the participation regime in service providers, stating in its Explanatory Memorandum that “The right to hold significant stakes in various state communication service providers is recognized, but this right is limited if at the time of the merger or purchase of shares more than 27% of the audience is accumulated. The audience criterion has been chosen when evaluating market dominance positions following the solutions outlined by the most recent legislation of European countries on the matter.”</w:t>
      </w:r>
    </w:p>
    <w:p>
      <w:r>
        <w:t>Likewise, a single owner may not hold significant stakes in audiovisual communication service providers that accumulate more than two multiplexes – eight channels – and in any case, a minimum of three state private operators must be guaranteed.</w:t>
      </w:r>
    </w:p>
    <w:p>
      <w:r>
        <w:t>The above is developed in Article 36 relating to “Pluralism in the Television Audiovisual Market” and according to which “1. Natural and legal persons may simultaneously hold social stakes or voting rights in different providers of television audiovisual communication services. 2. However, no natural or legal person may acquire a significant stake in more than one provider of state television audiovisual communication services when the average audience of the set of channels of the considered state providers exceeds 27% of the total audience during the twelve consecutive months prior to the acquisition. 3. The exceeding of 27% of the total audience after the acquisition of a new significant stake shall have no effect on the holder thereof. 5. No natural or legal person may acquire a significant stake or voting rights in more than one provider of television audiovisual communication services a) When the state audiovisual communication service providers accumulate rights of use over the public radioelectric domain exceeding, in their entirety, the technical capacity corresponding to two multiplex channels. b) When the regional audiovisual communication service providers accumulate rights of use over the public radioelectric domain exceeding, in their entirety, the technical capacity corresponding to one multiplex channel. c) No natural or legal person holding or participating in the share capital of a state television audiovisual communication service provider may acquire a significant stake or voting rights in the capital of another provider of the same service when this would prevent the existence of at least three distinct private providers of television audiovisual communication services at the state level, ensuring respect for informational pluralism.”</w:t>
      </w:r>
    </w:p>
    <w:p>
      <w:r>
        <w:t>In short, the legislator has set the limits and conditions that allow for the guarantee of the objective of promoting the existence of strong competitors, capable of competing in the market, without jeopardizing others, also enshrined in the law, such as the competitive provision of services or pluralism.</w:t>
      </w:r>
    </w:p>
    <w:p>
      <w:r>
        <w:t>This requires dimension and, for this purpose, the effect of the concentration operation presented is fundamental.</w:t>
      </w:r>
    </w:p>
    <w:p>
      <w:r>
        <w:t>In conclusion, the current regulation of the guarantee of pluralism contemplates a regime that seeks to combine, on the one hand, absolute limits in terms of audience and accumulation of rights of use of the spectrum and exploitation of programs and, on the other, the need to have operators that can achieve a dimension and economies of scale that make them viable from an economic point of view, recognizing for this purpose the possibility of holding significant stakes in several providers, within the aforementioned absolute limits.</w:t>
      </w:r>
    </w:p>
    <w:p>
      <w:r>
        <w:t>And this is an objective that does not correspond to the competition authority to guarantee, but belongs to the own scope of the competencies of the Government that must ensure an economically sustainable configuration of the audiovisual sector, from which depend all other goods of general interest that must be guaranteed and that are addressed below.</w:t>
      </w:r>
    </w:p>
    <w:p>
      <w:r>
        <w:t>Given the situation that would result for La Sexta if the analyzed operation does not occur, […].</w:t>
      </w:r>
    </w:p>
    <w:p>
      <w:r>
        <w:t>On the other hand, the current context of the television advertising market points to a scenario in which the consolidation processes of operators are necessary to guarantee the necessary financial sustainability in the medium and long term of the operators present in the market. The evolution of the advertising market presents a scenario of considerable decline. According to data published by Infoadex, in 2011 the advertising investment of national open television reached 1,977 million euros, with a decrease of 7.1% compared to 2010. Quarterly advances anticipate that in 2012 a further decline of 16% in advertising investment is expected.</w:t>
      </w:r>
    </w:p>
    <w:p>
      <w:r>
        <w:t>In this context, the consolidation of operators constitutes a relevant element for the survival of a television content offer with high value for maintaining informational pluralism, corresponding to a generalist television model with a significant component of in-house content production, in which the existence of a relevant editorial and informative line has significant weight.</w:t>
      </w:r>
    </w:p>
    <w:p>
      <w:r>
        <w:t>In conclusion, the sustainability in the medium term of this type of television offer requires sufficient financial resources.</w:t>
      </w:r>
    </w:p>
    <w:p>
      <w:r>
        <w:rPr>
          <w:b/>
        </w:rPr>
        <w:t>[Pages 19–21]</w:t>
      </w:r>
    </w:p>
    <w:p>
      <w:r>
        <w:t>In recent years, the market has witnessed a partial consolidation process of operators, and it has also seen, in some cases, the disappearance, due to reasons of economic viability, of certain smaller channels with their own informative offerings as previously mentioned.</w:t>
      </w:r>
    </w:p>
    <w:p>
      <w:r>
        <w:t>In the case of the concentration operation Antena 3/La Sexta, the plan announced by Antena 3 to investors foresees maintaining and respecting the essence of La Sexta and its commercial profile after the concentration.</w:t>
      </w:r>
    </w:p>
    <w:p>
      <w:r>
        <w:t>In accordance with all of this, the consolidation of these two operators in the television market would allow for the reinforcement of financial viability in the medium and long term of the offerings of both operators, through the synergies that could arise from the operation. The operation should, consequently, facilitate the sustainability of the television model in the medium term.</w:t>
      </w:r>
    </w:p>
    <w:p>
      <w:r>
        <w:t>Overall, the operation guarantees the survival of channels that serve different target audiences which, otherwise, would certainly be deprived of a well-defined editorial line with its own characteristics, resulting in the impoverishment of the pluralism that must be protected.</w:t>
      </w:r>
    </w:p>
    <w:p>
      <w:r>
        <w:t>In conclusion, this concentration operation is not only in accordance with the requirements of informational pluralism set forth in the aforementioned Article 36 of Law 7/2010, of March 31, General Audiovisual Communication - as reflected in the report submitted on January 30, 2012, by the Secretary of State for Telecommunications and the Information Society to the CNC, in the procedure for analyzing the operation by the Spanish competition authority, which indicates that the Antena 3/La Sexta operation does not have effects on television informational pluralism, among other reasons, because the joint audience of the digital terrestrial television multiplexes of Antena 3 and La Sexta is below 27% - but also that its unviability [...], endangers the maintenance of an existing editorial line today and of uncertain future if the operation is not carried out.</w:t>
      </w:r>
    </w:p>
    <w:p>
      <w:r>
        <w:t>In conclusion, the search for an adequate balance in political and informational plurality justifies the intervention of the Government to try to prevent the disappearance of an editorial line, especially in the current situation where the business model of many television service providers has turned into mere channel lessors that lack their own line, offering, and programming.</w:t>
      </w:r>
    </w:p>
    <w:p>
      <w:r>
        <w:t xml:space="preserve">Second.- Modification of the conditions imposed by the CNC to achieve the considered general interest objectives </w:t>
        <w:br/>
        <w:t xml:space="preserve">Article 60.3 of the LDC states that the Council of Ministers may: </w:t>
        <w:br/>
        <w:t xml:space="preserve">“a) Confirm the resolution issued by the Council of the National Competition Commission. </w:t>
        <w:br/>
        <w:t>b) Agree to authorize the concentration, with or without conditions…..”</w:t>
      </w:r>
    </w:p>
    <w:p>
      <w:r>
        <w:t xml:space="preserve">The CNC has imposed five conditions regarding television advertising, open television, the acquisition of audiovisual content, the provision of information, and the term of validity of the previous conditions. The first condition requires the following from ANTENA 3/LA SEXTA: </w:t>
        <w:br/>
        <w:t xml:space="preserve">a) It must break its joint advertising management agreements for third-party open TDT channels and may not sign new agreements of this type. </w:t>
        <w:br/>
        <w:t xml:space="preserve">b) It must separately market, through different companies, the advertising spaces of its two most-watched open channels. Each of the companies may market television advertising products from channels whose joint audience does not exceed 18% of the average semiannual share. </w:t>
        <w:br/>
        <w:t xml:space="preserve">c) It must publish at least quarterly its offering of television advertising products, which must include, at a minimum, the products necessary to guarantee the possibility of acquiring advertising spaces individually on each of ANTENA 3's television channels. </w:t>
        <w:br/>
        <w:t xml:space="preserve">d) It may not employ commercial policies that impose certain advertising products over others. In particular, the companies that market the television advertising of ANTENA 3/LA SEXTA may not prioritize the contracting of advertising jointly across several television channels over the contracting individually on each of the channels merely because a joint advertising contract is made across several channels. </w:t>
        <w:br/>
        <w:t xml:space="preserve">e) It may not offer the contracting of advertising spaces in simulcast unless the advertiser requests it in writing prior and expressly. This obligation does not affect the company that markets the advertising of the Antena 3 channel. </w:t>
        <w:br/>
        <w:t xml:space="preserve">f) It may not condition commercial offers to advertisers or media agencies on the guarantee of contracting a minimum investment quota or GRPs. </w:t>
        <w:br/>
        <w:t>g) The negotiations between the companies managing the television advertising of ANTENA 3/LA SEXTA and the advertisers and media agencies must be governed by minimum principles of transparency, objectivity, predictability, and legal certainty.</w:t>
      </w:r>
    </w:p>
    <w:p>
      <w:r>
        <w:t>In the procedure before the CNC, Antena 3 offered, in relation to the television advertising market, commitments that were not accepted by the CNC, which imposed the previous conditions. Antena 3 has publicly considered that such conditions are discriminatory, more severe, and impose greater restrictions and new obligations on Antena 3 compared to MEDIASET. In particular, it has questioned the obligation to maintain two separate companies and teams to market the advertising of the Antena 3 and La Sexta channels, which is not required of MEDIASET, as well as the limitations on television advertising offers by packaging several television channels, whose average semiannual joint audience does not exceed 18%, instead of the 22% offered by ANTENA 3 and established for MEDIASET. Such conditions diminish, in the opinion of the company, its ability to compete with the market leader. Furthermore, in the first condition, there are additional obligations that were not included in the TELECINCO/CUATRO commitments related, for example, to the unique rate, minimum investment quotas, or negotiation practices with advertisers.</w:t>
      </w:r>
    </w:p>
    <w:p>
      <w:r>
        <w:t>In the areas of the open television market (second condition ANTENA 3), content acquisition market (third condition), and periodic information obligations (fourth condition), the obligations established by the conditions for ANTENA 3 are, as the CNC indicates, similar to those offered by ANTENA 3 in its commitments. Moreover, these obligations, as the CNC points out, are practically identical to those that MEDIASET has within the framework of the TELECINCO/CUATRO concentration.</w:t>
      </w:r>
    </w:p>
    <w:p>
      <w:r>
        <w:t>The fifth condition, for its part, establishes a duration of the conditions of five years, compared to the TELECINCO/CUATRO commitment which establishes a duration of three years extendable to five. This inequality could generate asymmetries in that TELECINCO is subject to restrictions derived from the conditions for a shorter time than Antena 3.</w:t>
      </w:r>
    </w:p>
    <w:p>
      <w:r>
        <w:t>In light of the considerations presented, it can be concluded that the elimination of the main asymmetries introduced between the two main private television operators, as a consequence of the obligations contemplated in the first and fifth conditions of the CNC, would eliminate the obstacles to the integration between Antena 3 and La Sexta in favor of ensuring the sectoral interest objectives identified in this Agreement.</w:t>
      </w:r>
    </w:p>
    <w:p>
      <w:r>
        <w:t>Such modification does not affect the mechanisms available to both the Government and the CNC itself, which can be decisive in the television advertising market, such as those aimed at preventing and/or sanctioning collusive strategies of operators or other abuses, all considering a more symmetrical framework that allows for the adequate maintenance of the aforementioned sectoral regulation objectives.</w:t>
      </w:r>
    </w:p>
    <w:p>
      <w:r>
        <w:t>Therefore, this Agreement, and the modification of the conditions it entails, is carried out exclusively within the framework of the analyzed concentration operation and without prejudice to the full application by the CNC of the LDC in its entirety, particularly Articles 1 and following related to prohibited conduct and restrictive competition practices, to the sectors and companies affected by the concentration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