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https://www.cnmc.es/expedientes/c043312</w:t>
      </w:r>
    </w:p>
    <w:p>
      <w:r>
        <w:t>Pages translated : 1</w:t>
      </w:r>
    </w:p>
    <w:p/>
    <w:p>
      <w:r>
        <w:rPr>
          <w:b/>
        </w:rPr>
        <w:t>[Pages 1–1]</w:t>
      </w:r>
    </w:p>
    <w:p>
      <w:r>
        <w:t>RESOLUTION (File No. C-0433/12, GEM BENELUX/SOVITEC)</w:t>
      </w:r>
    </w:p>
    <w:p>
      <w:r>
        <w:t>COUNCIL</w:t>
      </w:r>
    </w:p>
    <w:p>
      <w:r>
        <w:t>Mr. Joaquín García Bernaldo de Quirós, President</w:t>
      </w:r>
    </w:p>
    <w:p>
      <w:r>
        <w:t>Ms. Pilar Sánchez Núñez, Vice President</w:t>
      </w:r>
    </w:p>
    <w:p>
      <w:r>
        <w:t>Mr. Julio Costas Comesaña, Counselor</w:t>
      </w:r>
    </w:p>
    <w:p>
      <w:r>
        <w:t>Ms. Mª Jesús González López, Counselor</w:t>
      </w:r>
    </w:p>
    <w:p>
      <w:r>
        <w:t>Ms. Inmaculada Gutiérrez Carrizo, Counselor</w:t>
      </w:r>
    </w:p>
    <w:p>
      <w:r>
        <w:t>Ms. Paloma Avila de Grado, Counselor</w:t>
      </w:r>
    </w:p>
    <w:p>
      <w:r>
        <w:t>Mr. Luis Díez Martín, Counselor</w:t>
      </w:r>
    </w:p>
    <w:p>
      <w:r>
        <w:t>In Madrid, on April 11, 2012.</w:t>
      </w:r>
    </w:p>
    <w:p>
      <w:r>
        <w:t>Having reviewed the file processed in accordance with Law 15/2007, of July 3, on the Defense of Competition, concerning the concentration operation consisting of the acquisition of exclusive control over SOVITEC INTERNATIONAL B.V. by a newly established vehicle company belonging to a fund advised by GILDE EQUITY MANAGEMENT BENELUX FUND II CAPITAL PARTNERS B.V (File No. C/0433/12),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