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https://www.cnmc.es/expedientes/c043412</w:t>
      </w:r>
    </w:p>
    <w:p>
      <w:r>
        <w:t>Pages translated : 1</w:t>
      </w:r>
    </w:p>
    <w:p/>
    <w:p>
      <w:r>
        <w:rPr>
          <w:b/>
        </w:rPr>
        <w:t>[Pages 1–1]</w:t>
      </w:r>
    </w:p>
    <w:p>
      <w:r>
        <w:t>RESOLUTION (File No. C-0434/12, AGILE/CASHDIPLO)</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April 11, 2012.</w:t>
      </w:r>
    </w:p>
    <w:p>
      <w:r>
        <w:t>Having reviewed the file processed in accordance with Law 15/2007, of July 3, on the Defense of Competition, regarding the concentration operation consisting of the acquisition by AGILE FINANCE S.A., [...]1, of exclusive control over CASHDIPLO S.L., a wholly-owned subsidiary of DINOSOL SUPERMERCADOS S.L. (File No. C/0434/12),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1 The information whose exact content has been declared confidential is indicated in brackets.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