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https://www.cnmc.es/expedientes/c043612</w:t>
      </w:r>
    </w:p>
    <w:p>
      <w:r>
        <w:t>Pages translated : 1</w:t>
      </w:r>
    </w:p>
    <w:p/>
    <w:p>
      <w:r>
        <w:rPr>
          <w:b/>
        </w:rPr>
        <w:t>[Pages 1–1]</w:t>
      </w:r>
    </w:p>
    <w:p>
      <w:r>
        <w:t>RESOLUTION (File No. C-0436/12, KLEIN PARTNERS/SPIRE PAYMENTS (formerly HYPERCOM SPAIN)</w:t>
      </w:r>
    </w:p>
    <w:p>
      <w: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r>
    </w:p>
    <w:p>
      <w:r>
        <w:t>In Madrid, on May 3, 2012.</w:t>
      </w:r>
    </w:p>
    <w:p>
      <w:r>
        <w:t>Having reviewed the file processed in accordance with Law 15/2007, of July 3, on the Defense of Competition, concerning the concentration operation consisting of the acquisition by KLEIN PARTNERS of exclusive control of the company SPIRE PAYMENTS S.A., formerly known as Hypercom Spain S.A. (File No. C/0436/12), and in agreement with the report and proposal submitted by the Investigation Directorate, the Council of the National Commission of Competition has resolved, in application of Article 57.2.a) of the aforementioned Law, to authorize the said concentration operation in the first phase, except with respect to the non-competition agreement, the non-solicitation imposed by Hypercom on Klein Partners, and the intellectual property rights licensing agreements signed on August 4, 2011, and March 14, 2012, under the terms provided in section III of the Report and proposal of the Investigation Directorate.</w:t>
      </w:r>
    </w:p>
    <w:p>
      <w:r>
        <w:t>This Resolution shall be communicated to the Investigation Directorate of the National Commission of Competition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