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https://www.cnmc.es/expedientes/c043712</w:t>
      </w:r>
    </w:p>
    <w:p>
      <w:r>
        <w:t>Pages translated : 1</w:t>
      </w:r>
    </w:p>
    <w:p/>
    <w:p>
      <w:r>
        <w:rPr>
          <w:b/>
        </w:rPr>
        <w:t>[Pages 1–1]</w:t>
      </w:r>
    </w:p>
    <w:p>
      <w:r>
        <w:t>RESOLUTION (File No. C-0437/12, UCC/CAFÉ HOLDINGS)</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May 9, 2012.</w:t>
        <w:br/>
        <w:t>Having reviewed the file processed in accordance with Law 15/2007, of July 3, on the Defense of Competition, concerning the concentration operation consisting of the acquisition by UCC EUROPE LIMITED, a company ultimately controlled by UCC HOLDINGS CO. LTD, of the entire share capital of CAFÉ 2011 HOLDINGS LIMITED (File No. C/0437/12),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