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https://www.cnmc.es/expedientes/c043912</w:t>
      </w:r>
    </w:p>
    <w:p>
      <w:r>
        <w:t>Pages translated : 1</w:t>
      </w:r>
    </w:p>
    <w:p/>
    <w:p>
      <w:r>
        <w:rPr>
          <w:b/>
        </w:rPr>
        <w:t>[Pages 1–1]</w:t>
      </w:r>
    </w:p>
    <w:p>
      <w:r>
        <w:t>RESOLUTION (File C-0439/12, IBERCAJA BANCO/BANCO CAJATRES)</w:t>
        <w:br/>
        <w:t>COUNCIL</w:t>
        <w:br/>
        <w:t>Mr. Joaquín García Bernaldo de Quirós, President</w:t>
        <w:br/>
        <w:t>Ms. Pilar Sánchez Núñez, Vice President</w:t>
        <w:br/>
        <w:t>Mr. Julio Costas Comesaña, Council Member</w:t>
        <w:br/>
        <w:t>Ms. Mª Jesús González López, Council Member</w:t>
        <w:br/>
        <w:t>Ms. Inmaculada Gutiérrez Carrizo, Council Member</w:t>
        <w:br/>
        <w:t>Mr. Luis Díez Martín, Council Member</w:t>
        <w:br/>
        <w:t>In Madrid, on June 18, 2012.</w:t>
        <w:br/>
        <w:t>Having reviewed the file processed in accordance with Law 15/2007, of July 3, on the Defense of Competition, regarding the concentration operation consisting of the acquisition of exclusive control of BANCO GRUPO CAJATRES S.A. by IBERCAJA BANCO S.A.U. (File C/0439/12), and in agreement with the report and proposal submitted by the Investigation Directorate, the Council of the National Competition Commission has resolved to archive the aforementioned concentration operation, in application of Article 57.2.e) of the aforementioned Law.</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