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https://www.cnmc.es/expedientes/c044312</w:t>
      </w:r>
    </w:p>
    <w:p>
      <w:r>
        <w:t>Pages translated : 1</w:t>
      </w:r>
    </w:p>
    <w:p/>
    <w:p>
      <w:r>
        <w:rPr>
          <w:b/>
        </w:rPr>
        <w:t>[Pages 1–1]</w:t>
      </w:r>
    </w:p>
    <w:p>
      <w:r>
        <w:t>RESOLUTION (File No. C-0443/12, SWISSPORT/FLIGHTCARE)</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June 27, 2012.</w:t>
      </w:r>
    </w:p>
    <w:p>
      <w:r>
        <w:t>Having reviewed the file processed in accordance with Law 15/2007, of July 3, on the Defense of Competition, concerning the concentration operation consisting of the acquisition of exclusive control by SWISSPORT HANDLING S.A. over the company FLIGHTCARE S.L., both engaged in the provision of ground handling services at airports, (File No. C/0443/12),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non-compete agreement which, to the extent that it exceeds the scope of the seven airports in which the acquired company is active, shall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