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https://www.cnmc.es/expedientes/c044412</w:t>
      </w:r>
    </w:p>
    <w:p>
      <w:r>
        <w:t>Pages translated : 1</w:t>
      </w:r>
    </w:p>
    <w:p/>
    <w:p>
      <w:r>
        <w:rPr>
          <w:b/>
        </w:rPr>
        <w:t>[Pages 1–1]</w:t>
      </w:r>
    </w:p>
    <w:p>
      <w:r>
        <w:t>RESOLUTION (File No. C-0444/12, GACM/AMCI)</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June 27, 2012.</w:t>
        <w:br/>
        <w:t>Having reviewed the file processed in accordance with Law 15/2007, of July 3, on the Defense of Competition, regarding the concentration operation consisting of the acquisition of exclusive control of Agrupació Mútua del Comerç i la Industria, Mútua d'Assegurances i Reassegurances a Prima Fixa (AMCI) by Groupe Des Assurances Du Credit Mutuel (GACM) (File No. c/0444/12),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