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https://www.cnmc.es/expedientes/c044812</w:t>
      </w:r>
    </w:p>
    <w:p>
      <w:r>
        <w:t>Pages translated : 1</w:t>
      </w:r>
    </w:p>
    <w:p/>
    <w:p>
      <w:r>
        <w:rPr>
          <w:b/>
        </w:rPr>
        <w:t>[Pages 1–1]</w:t>
      </w:r>
    </w:p>
    <w:p>
      <w:r>
        <w:t>RESOLUTION (File No. C-0448/12, MRG/IBERDROLA)</w:t>
        <w:br/>
        <w:t>COUNCIL</w:t>
        <w:br/>
        <w:t>Mr. Joaquín García Bernaldo de Quirós, President</w:t>
        <w:br/>
        <w:t>Ms. Pilar Sánchez Núñez, Vice President</w:t>
        <w:br/>
        <w:t>Mr. Julio Costas Comesaña, Councilor</w:t>
        <w:br/>
        <w:t>Ms. Mª Jesús González López, Councilor</w:t>
        <w:br/>
        <w:t>Ms. Inmaculada Gutiérrez Carrizo, Councilor</w:t>
        <w:br/>
        <w:t>Mr. Luis Díez Martín, Councilor</w:t>
        <w:br/>
        <w:t>In Madrid, on July 31, 2012.</w:t>
      </w:r>
    </w:p>
    <w:p>
      <w:r>
        <w:t>Having reviewed the file processed in accordance with Law 15/2007, of July 3, on the Defense of Competition, concerning the concentration operation consisting of the acquisition by Madrileña Red de Gas, S.A.U. of exclusive control over a series of assets for gas distribution in certain municipalities of the Community of Madrid from Iberdrola Distribución de Gas, S.A.U. (File No. C/0448/12), and in agreement with the report and proposal submitted by the Directorate of Investigation, the Council of the National Competition Commission has resolved, in application of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