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https://www.cnmc.es/expedientes/c045112</w:t>
      </w:r>
    </w:p>
    <w:p>
      <w:r>
        <w:t>Pages translated : 1</w:t>
      </w:r>
    </w:p>
    <w:p/>
    <w:p>
      <w:r>
        <w:rPr>
          <w:b/>
        </w:rPr>
        <w:t>[Pages 1–1]</w:t>
      </w:r>
    </w:p>
    <w:p>
      <w:r>
        <w:t xml:space="preserve">RESOLUTION (File C-0451/12, COGESPAR/GROUPAMA)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In Madrid, on July 26, 2012.</w:t>
      </w:r>
    </w:p>
    <w:p>
      <w:r>
        <w:t>Having reviewed the file processed in accordance with Law 15/2007, of July 3, on the Defense of Competition, regarding the concentration operation consisting of the acquisition of exclusive control of SEGUROS GROUPAMA, SEGUROS Y REASEGUROS S.A.U. by CO Sociedad de Gestión y Participación S.A. (COGESPAR) through its subsidiaries INOC, S.A. and SEGUROS CATALANA OCCIDENTE, S.A. DE SEGUROS Y REASEGUROS (File C/0451/12), and in agreement with the report and the proposal submitted by the Directorate of Investigation, the Council of the National Competition Commission has resolved, in application of Article 57.2.a) of the aforementioned Law, to authorize the said concentration operation in the first phase.</w:t>
      </w:r>
    </w:p>
    <w:p>
      <w:r>
        <w:t xml:space="preserve">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  </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