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https://www.cnmc.es/expedientes/c045212</w:t>
      </w:r>
    </w:p>
    <w:p>
      <w:r>
        <w:t>Pages translated : 1</w:t>
      </w:r>
    </w:p>
    <w:p/>
    <w:p>
      <w:r>
        <w:rPr>
          <w:b/>
        </w:rPr>
        <w:t>[Pages 1–1]</w:t>
      </w:r>
    </w:p>
    <w:p>
      <w:r>
        <w:t>RESOLUTION (File No. C-0452/12, ISOLUX/PSP)</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July 31, 2012.</w:t>
        <w:br/>
        <w:t>Having reviewed the file processed in accordance with Law 15/2007, of July 3, on the Defense of Competition, concerning the concentration operation consisting of the acquisition by GRUPO ISOLUX CORSÁN S.A. and INFRA-PSP CANADA INC of joint control over a newly created company ISOLUX INFRASTRUCTURA NETHERLANDS (File No. C/0452/12), and in agreement with the report and proposal submitted by the Investigation Directorate, the Council of the National Commission on Competition has resolved, in application of Article 57.2.a) of the aforementioned Law, to authorize the said concentration operation in the first phase, except with respect to the non-competition clause and the confidentiality clause, which would be subject to the regulations on agreements between companies as provided in section III of the Report and Proposal of the Investigation Directorate.</w:t>
        <w:br/>
        <w:t>This Resolution shall be communicated to the Investigation Directorate of the National Commission on Competition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