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https://www.cnmc.es/expedientes/c045512</w:t>
      </w:r>
    </w:p>
    <w:p>
      <w:r>
        <w:t>Pages translated : 1</w:t>
      </w:r>
    </w:p>
    <w:p/>
    <w:p>
      <w:r>
        <w:rPr>
          <w:b/>
        </w:rPr>
        <w:t>[Pages 1–1]</w:t>
      </w:r>
    </w:p>
    <w:p>
      <w:r>
        <w:t>RESOLUTION (File C-0455/12, IBERCAJA BANCO/LIBERBANK/BANCO GRUPO CAJATRES)</w:t>
      </w:r>
    </w:p>
    <w:p>
      <w:r>
        <w:t>COUNCIL</w:t>
      </w:r>
    </w:p>
    <w:p>
      <w:r>
        <w:t xml:space="preserve">Mr. Joaquín García Bernaldo de Quirós, President  </w:t>
        <w:br/>
        <w:t xml:space="preserve">Ms. Pilar Sánchez Núñez, Vice President  </w:t>
        <w:br/>
        <w:t xml:space="preserve">Mr. Julio Costas Comesaña, Member  </w:t>
        <w:br/>
        <w:t xml:space="preserve">Ms. Mª Jesús González López, Member  </w:t>
        <w:br/>
        <w:t xml:space="preserve">Ms. Inmaculada Gutiérrez Carrizo, Member  </w:t>
        <w:br/>
        <w:t>Mr. Luis Díez Martín, Member</w:t>
      </w:r>
    </w:p>
    <w:p>
      <w:r>
        <w:t>In Madrid, on September 5, 2012.</w:t>
      </w:r>
    </w:p>
    <w:p>
      <w:r>
        <w:t>Having reviewed the file processed in accordance with Law 15/2007, of July 3, on the Defense of Competition, concerning the concentration operation consisting of the joint control acquisition of the businesses of IBERCAJA BANCO S.A.U., LIBERBANK S.A., and BANCO GRUPO CAJATRES S.A., which will be integrated into a newly created company named LIBERCAJA BANCO S.A. by IBERCAJA BANCO S.A.U. and LIBERBANK S.A., (File C/0455/12),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