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https://www.cnmc.es/expedientes/c045612</w:t>
      </w:r>
    </w:p>
    <w:p>
      <w:r>
        <w:t>Pages translated : 1</w:t>
      </w:r>
    </w:p>
    <w:p/>
    <w:p>
      <w:r>
        <w:rPr>
          <w:b/>
        </w:rPr>
        <w:t>[Pages 1–1]</w:t>
      </w:r>
    </w:p>
    <w:p>
      <w:r>
        <w:t>RESOLUTION (File No. C-0456/12, UNICAJA/CEISS)</w:t>
        <w:b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br/>
        <w:t>In Madrid, on September 12, 2012.</w:t>
        <w:br/>
        <w:t>Having reviewed the file processed in accordance with Law 15/2007, of July 3, on the Defense of Competition, concerning the concentration operation consisting of the integration of MONTE DE PIEDAD Y CAJA DE AHORROS DE RONDA, CÁDIZ, ALMERIA, MALAGA, ANTEQUERA Y JAÉN (“UNICAJA”) and CAJA ESPAÑA DE INVERSIONES, SALAMANCA Y SORIA, CAJA DE AHORROS Y MONTE DE PIEDAD (“CEISS”) into a consolidable group of credit entities on a contractual basis (File No. C/0456/12),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