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https://www.cnmc.es/expedientes/c045812</w:t>
      </w:r>
    </w:p>
    <w:p>
      <w:r>
        <w:t>Pages translated : 1</w:t>
      </w:r>
    </w:p>
    <w:p/>
    <w:p>
      <w:r>
        <w:rPr>
          <w:b/>
        </w:rPr>
        <w:t>[Pages 1–1]</w:t>
      </w:r>
    </w:p>
    <w:p>
      <w:r>
        <w:t>RESOLUTION (File C-0458/12, AIR LIQUIDE/GASMENDI)</w:t>
      </w:r>
    </w:p>
    <w:p>
      <w:r>
        <w:t>COUNCIL</w:t>
      </w:r>
    </w:p>
    <w:p>
      <w:r>
        <w:t xml:space="preserve">Mr. Joaquín García Bernaldo de Quirós,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Mr. Luis Díez Martín, Council Member</w:t>
      </w:r>
    </w:p>
    <w:p>
      <w:r>
        <w:t>In Madrid, on September 5, 2012.</w:t>
      </w:r>
    </w:p>
    <w:p>
      <w:r>
        <w:t>Having reviewed the file processed in accordance with Law 15/2007, of July 3, on the Defense of Competition, regarding the concentration operation consisting of the acquisition by the L’AIR LIQUIDE Group of exclusive control over Grupo GASMENDI S.L. (File C/0458/12), and in agreement with the report and proposal submitted by the Investigation Directorate, the Council of the National Competition Commission has resolved, in application of art.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