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https://www.cnmc.es/expedientes/c046012</w:t>
      </w:r>
    </w:p>
    <w:p>
      <w:r>
        <w:t>Pages translated : 1</w:t>
      </w:r>
    </w:p>
    <w:p/>
    <w:p>
      <w:r>
        <w:rPr>
          <w:b/>
        </w:rPr>
        <w:t>[Pages 1–1]</w:t>
      </w:r>
    </w:p>
    <w:p>
      <w:r>
        <w:t>RESOLUTION (File No. C-0460/12, AJA INVERSIONES S.L./CMA RETAIL ESPAÑA S.L.U.)</w:t>
      </w:r>
    </w:p>
    <w:p>
      <w: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r>
    </w:p>
    <w:p>
      <w:r>
        <w:t>In Madrid, on September 5, 2012.</w:t>
      </w:r>
    </w:p>
    <w:p>
      <w:r>
        <w:t>Having reviewed the file processed in accordance with Law 15/2007, of July 3, on the Defense of Competition, regarding the concentration operation consisting of the acquisition by AJA INVERSIONES S.L. of exclusive control of DINOSOL SUPERMERCADOS S.L., through the acquisition of CMA RETAIL ESPAÑA S.L.U., parent company of DINOSOL, (File No. C/0460/12),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r>
    </w:p>
    <w:p>
      <w:r>
        <w:t>This Resolution shall be communicated to the Directorate of Investigation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