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https://www.cnmc.es/expedientes/c046412</w:t>
      </w:r>
    </w:p>
    <w:p>
      <w:r>
        <w:t>Pages translated : 1</w:t>
      </w:r>
    </w:p>
    <w:p/>
    <w:p>
      <w:r>
        <w:rPr>
          <w:b/>
        </w:rPr>
        <w:t>[Pages 1–1]</w:t>
      </w:r>
    </w:p>
    <w:p>
      <w:r>
        <w:t>RESOLUTION (File No. C-0464/12, CAIXABANK/ BANCA CIVICA VIDA/ CAJABURGOS VIDA/CAN SEGUROS DE SALUD)</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October 3, 2012.</w:t>
      </w:r>
    </w:p>
    <w:p>
      <w:r>
        <w:t>Having reviewed the file processed in accordance with Law 15/2007, of July 3, on the Defense of Competition, regarding the concentration operation consisting of the acquisition of exclusive control by the LA CAIXA group of BANCA CÍVICA VIDA Y PENSIONES S.A. DE SEGUROS (BANCA CÍVICA VIDA), CAJABURGOS VIDA COMPAÑÍA DE SEGUROS DE VIDA S.A. (CAJABURGOS VIDA), and CAN SEGUROS DE SALUD S.A. (CAN SEGUROS DE SALUD), entities over which, until now, LA CAIXA held joint control with the company Aegon Spanje Holding B.V. (AEGON) (File No. C/0464/12),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