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https://www.cnmc.es/expedientes/c046812</w:t>
      </w:r>
    </w:p>
    <w:p>
      <w:r>
        <w:t>Pages translated : 9</w:t>
      </w:r>
    </w:p>
    <w:p/>
    <w:p>
      <w:r>
        <w:rPr>
          <w:b/>
        </w:rPr>
        <w:t>[Pages 1–3]</w:t>
      </w:r>
    </w:p>
    <w:p>
      <w:r>
        <w:t xml:space="preserve">RESOLUTION  </w:t>
        <w:br/>
        <w:t xml:space="preserve">(Expte. C-0468/12 DISA/SHELL/SAE/JV)  </w:t>
        <w:br/>
        <w:t xml:space="preserve">Council:  </w:t>
        <w:br/>
        <w:t xml:space="preserve">Mr. Joaquín García Bernaldo de Quirós, President  </w:t>
        <w:br/>
        <w:t xml:space="preserve">Ms. Pilar Sánchez Núñez, Vice President  </w:t>
        <w:br/>
        <w:t xml:space="preserve">Mr. Julio Costas Comesaña, Councilor  </w:t>
        <w:br/>
        <w:t xml:space="preserve">Ms. María Jesús González López, Councilor  </w:t>
        <w:br/>
        <w:t xml:space="preserve">Ms. Inmaculada Gutierrez Carrizo, Councilor  </w:t>
        <w:br/>
        <w:t xml:space="preserve">Mr. Luis Díez Martín, Councilor  </w:t>
        <w:br/>
        <w:t xml:space="preserve">Madrid, March 25, 2013  </w:t>
        <w:br/>
        <w:t xml:space="preserve">The Council of the National Competition Commission, with the composition expressed and with Mr. Julio Costas Comesaña as the rapporteur, by virtue of Article 57.2.b) of Law 15/2007, of July 3, on the Defense of Competition, has issued this Resolution in the concentration file C-0468/12 DISA/SHELL/SAE/JV, regarding the acquisition by Disa Corporación Petrolífera, S.A. (hereinafter, DISA) of joint control over Shell Aviation España, S.L. (hereinafter, SAE), currently owned by Shell España, S.A. (hereinafter, SESA), belonging to the Shell group (hereinafter, SHELL), through the acquisition of 50% of its shares.  </w:t>
        <w:br/>
        <w:t xml:space="preserve">BACKGROUND  </w:t>
        <w:br/>
        <w:t xml:space="preserve">1. On September 19, 2012, a notification regarding the acquisition by DISA of joint control over SAE, currently owned by SESA, belonging to the Shell group, through the acquisition of 50% of its shares, was received by the National Competition Commission (hereinafter, CNC).  </w:t>
        <w:br/>
        <w:t xml:space="preserve">2. In accordance with Article 57.1 of Law 15/2007, of July 3, on the Defense of Competition (hereinafter Law 15/2007 or LDC), the Directorate of Investigation formed a file and prepared the corresponding report of the operation along with a proposed resolution that was submitted to the Council.  </w:t>
        <w:br/>
        <w:t xml:space="preserve">3. On November 29, 2012, the Council of the CNC issued a resolution in the first phase, in which it agreed to initiate the second phase of the procedure in accordance with Article 57.2.c) of the LDC, considering that the aforementioned concentration operation could hinder the maintenance of effective competition in all or some of the considered markets.  </w:t>
        <w:br/>
        <w:t xml:space="preserve">4. The Directorate of Investigation has conducted the procedure in the second phase in accordance with the provisions of Articles 58, 59, and 37 of Law 15/2007. In particular, on December 19, 2012, the Directorate of Investigation requested the Competition Defense Service of the Government of the Canary Islands to issue the mandatory, non-binding report on the aforementioned concentration operation, which was received by the CNC on January 15, 2013.  </w:t>
        <w:br/>
        <w:t xml:space="preserve">5. In application of Article 58.1 of the LDC, the Directorate of Investigation prepared a succinct note on the concentration which, once the confidential aspects were resolved, was made public and communicated to the natural or legal persons who could be affected and to the Council of Consumers and Users, so that they could submit their allegations within a period of 10 days.  </w:t>
        <w:br/>
        <w:t xml:space="preserve">6. According to the provisions of Article 66 of Royal Decree 261/2008, of February 22, which approves the Regulation on the Defense of Competition (hereinafter, RDC), the Council of the CNC resolved to accept, on January 15, 2013, the participation as interested parties of Galp Energía España, S.A.U. (hereinafter, GALP) and Compañía Española de Petróleos, S.A. (hereinafter, CEPSA).  </w:t>
        <w:br/>
        <w:t xml:space="preserve">7. On January 18, 2013, the Directorate of Investigation prepared a statement of facts (PCH), in application of Article 58.2 of the LDC, which included the possible obstacles to competition arising from the concentration and which was notified on that date to the interested parties so that they could submit allegations within a period of 10 days.  </w:t>
        <w:br/>
        <w:t xml:space="preserve">8. In accordance with Article 49 of Law 30/1992, of November 26, on the Common Administrative Procedure, the deadline for submitting allegations was extended to those interested parties who requested it, setting February 5, 2013, as the end date.  </w:t>
        <w:br/>
        <w:t xml:space="preserve">9. On February 12, 2013, the notifying parties submitted a proposal for commitments to the CNC, under Article 59 of the LDC and Article 69 of the RDC, in order to resolve the obstacles to the maintenance of effective competition arising from the notified concentration operation. By virtue of the provisions of paragraph 2 of Article 59 of the LDC, the submission of this proposal for commitments extended the maximum deadline for resolving and notifying the resolution of the Council of the CNC as per Article 36.2 of the LDC by 15 days.  </w:t>
        <w:br/>
        <w:t xml:space="preserve">10. On February 27, 2013, a new proposal for commitments was received by the CNC from the notifying parties.  </w:t>
        <w:br/>
        <w:t xml:space="preserve">11. On February 28, 2013, the Directorate of Investigation, in accordance with the provisions of Article 59.3 of the LDC, communicated the proposal for commitments submitted by the notifying parties to the interested parties and third-party operators, so that they could assess its adequacy to resolve the problems for the maintenance of competition arising from the concentration. By virtue of the provisions of Article 37.1.b) of the LDC, it was agreed to suspend the counting of the maximum deadline for resolution, to the extent that the requested information could contain necessary elements for the resolution of the file. The responses to the commitments test were received between March 6 and 8, 2013.  </w:t>
        <w:br/>
        <w:t xml:space="preserve">12. Likewise, on March 7, 2013, the proposal for commitments was sent to the National Energy Commission (hereinafter, CNE), so that it could assess its adequacy to resolve the problems for the maintenance of competition arising from the concentration. Similarly, by virtue of the provisions of Article 37.1.b) of the LDC, it was agreed to suspend the counting of the maximum deadline for resolution, to the extent that the requested information could contain necessary elements for the resolution of the file. The response from the CNE was received on March 14.  </w:t>
        <w:br/>
        <w:t xml:space="preserve">13. On March 20, 2013, a new proposal for commitments was received by the CNC from the notifying parties.  </w:t>
        <w:br/>
        <w:t xml:space="preserve">14. On March 22, 2013, the Directorate of Investigation submitted to the Council a report on the operation and a proposal for a final resolution, as provided for in Article 58.4 of the LDC. The Directorate of Investigation proposes to condition the authorization of the concentration on the fulfillment of the commitments proposed by the notifying parties that were submitted to the CNC on March 20, 2013.  </w:t>
        <w:br/>
        <w:t xml:space="preserve">15. Taking into account the suspensions of deadlines agreed by the Directorate of Investigation throughout the processing of the file, in accordance with Article 37.1.b) of Law 15/2007, and the extension of the deadline provided for in Article 59.2 of the same Law as a consequence of the submission of commitments, the deadline for resolving this file in the second phase is March 27, 2013, inclusive.  </w:t>
        <w:br/>
        <w:t xml:space="preserve">16. The Council of the National Competition Commission concluded the deliberation and ruling of this file in a plenary meeting on March 25, 2011.  </w:t>
        <w:br/>
        <w:t>17. The interested parties in this file are:</w:t>
      </w:r>
    </w:p>
    <w:p>
      <w:r>
        <w:rPr>
          <w:b/>
        </w:rPr>
        <w:t>[Pages 4–6]</w:t>
      </w:r>
    </w:p>
    <w:p>
      <w:r>
        <w:t>- Disa Corporación Petrolífera, S.A. (DISA)</w:t>
        <w:br/>
        <w:t>- Shell España, S.A. (SESA)</w:t>
        <w:br/>
        <w:t>- Galp Energía España, S.A.U. (GALP)</w:t>
        <w:br/>
        <w:t>- Compañía Española de Petróleos, S.A. (CEPSA)</w:t>
        <w:br/>
        <w:t>LEGAL GROUNDS</w:t>
        <w:br/>
        <w:t>First.- In accordance with Article 58.4 of Law 15/2007, based on the proposal for a final resolution from the Directorate of Investigation, the Council of the National Competition Commission, in the second phase, shall adopt the final decision through a resolution, in which it may: a) Authorize the concentration; b) Condition the authorization of the concentration on the fulfillment of certain commitments proposed by the notifying parties or conditions; c) Prohibit the concentration; and d) Agree to file the proceedings in the cases provided for in the Law.</w:t>
        <w:br/>
        <w:t>Second.- In accordance with the provisions of Article 59 of Law 15/2007, and in order to resolve the possible obstacles to the maintenance of effective competition that had been detected, the companies SESA and DISA submitted a set of commitments on March 20, 2013.</w:t>
        <w:br/>
        <w:t>In compliance with the provisions of Article 69.7 of the RDC, this final proposal of commitments has been included in point X of the Second Phase Report and Proposal for Resolution, and is as follows:</w:t>
        <w:br/>
        <w:t>A. In relation to the market for aviation fuel storage:</w:t>
        <w:br/>
        <w:t>1. Until the regulatory development of Royal Decree-Law 4/2013 occurs, DISA will publish on its website, within a maximum period of three months from the resolution that concludes this procedure or, where applicable, from the approval of the action plan, the following information for each of its fixed storage and transport facilities for aviation fuels:</w:t>
        <w:br/>
        <w:t>a. the tariff methodology applied including the different types of applicable discounts;</w:t>
        <w:br/>
        <w:t>b. the third-party access system to its facilities (procedure provided for requesting capacity, standard contracts, capacity allocation criteria, etc.);</w:t>
        <w:br/>
        <w:t>c. the annual investment plan;</w:t>
        <w:br/>
        <w:t>d. the capacity used: DISA will publish in month n+1, the daily data of capacity used and the monthly average (arithmetic mean of the daily data) corresponding to month n;</w:t>
        <w:br/>
        <w:t>e. the contracted capacity and its duration over time: DISA will publish monthly data over a time horizon of 3 years; and</w:t>
        <w:br/>
        <w:t>f. the available capacity: DISA will publish monthly data over a time horizon of 3 years.</w:t>
        <w:br/>
        <w:t>2. In the event of modifications, DISA will update on its website the access conditions referred to in commitment 1.</w:t>
        <w:br/>
        <w:t>3. DISA will periodically report information to the authority determined in the action plan regarding the following aspects:</w:t>
        <w:br/>
        <w:t>a. Capacity used: DISA will send in electronic format to said authority in month n+1, the daily data of capacity used and the monthly average (arithmetic mean of the daily data) corresponding to month n. The information sent to the aforementioned authority will be disaggregated by customer.</w:t>
        <w:br/>
        <w:t>b. Contracted capacity and its duration over time: DISA will send in electronic format to said authority monthly data over a time horizon of 3 years.</w:t>
        <w:br/>
        <w:t>c. Available capacity: DISA will send in electronic format to said authority monthly data over a time horizon of 3 years.</w:t>
        <w:br/>
        <w:t>d. Recorded physical and contractual congestions: DISA will inform said authority within no more than 7 working days.</w:t>
        <w:br/>
        <w:t>e. Planned expansions, improvements, and changes: DISA will inform said authority as soon as they occur or are anticipated, and in any case within no more than 15 working days.</w:t>
        <w:br/>
        <w:t>B. In relation to the market for maritime transport (inter-island) of aviation fuels:</w:t>
        <w:br/>
        <w:t>4. DISA will publish on its website, within a maximum period of three months from the resolution that concludes this procedure or, where applicable, from the approval of the action plan, the following information:</w:t>
        <w:br/>
        <w:t>a. the tariff methodology applied with a degree of disaggregation sufficient to identify, among others, if any, the "false freights" (understood as those that constitute compensation for damages paid to the shipowner when the charterer does not provide the cargo in the expected proportion, which obliges the latter to pay the freight for the amount);</w:t>
        <w:br/>
        <w:t>b. the discounts applied;</w:t>
        <w:br/>
        <w:t>c. the tariff supplements (supplement for port closure and compensation for fuel price variation);</w:t>
        <w:br/>
        <w:t>d. the third-party access system for inter-island transport services (procedure provided for requesting capacity, standard contracts, capacity allocation criteria, etc.);</w:t>
        <w:br/>
        <w:t>e. the annual investment plan; and</w:t>
        <w:br/>
        <w:t>f. the filling capacity of the cargo tanks and the capacity used.</w:t>
        <w:br/>
        <w:t>5. In the event of modifications, DISA will update on its website the access conditions referred to in commitment 4.</w:t>
        <w:br/>
        <w:t>6. DISA will periodically report information to the authority determined in the action plan regarding the following aspects:</w:t>
        <w:br/>
        <w:t>a. DISA will send to the authority determined in the action plan all requests for the provision of inter-island maritime service that are requested, both formalized and non-formalized.</w:t>
        <w:br/>
        <w:t>b. DISA will send in electronic format to the authority determined in the action plan, for each of the routes taken, and disaggregated by product and owner (with details of the exact dates on which these routes are made), the following information: routes of the vessels, loading port, unloading port, average duration of the routes, and schedules; as well as other relevant information regarding the vessels used for maritime transport: tonnage, filling capacity of the cargo tanks and used, ownership regime (owned or under "time-charter"), and products carried (light or heavy).</w:t>
        <w:br/>
        <w:t>c. Recorded physical and contractual congestions: DISA will notify the authority determined in the action plan, immediately, and in any case within no more than 7 working days, of any denial of access that has occurred in the provision of inter-island maritime transport service, specifying the reason for the denial of access. When DISA denies a request for the provision of logistical service, it will formally inform the applicant that they can notify this denial to the authority determined in the action plan.</w:t>
        <w:br/>
        <w:t>d. Fleet expansions, improvements, and planned changes: DISA will inform the authority determined in the action plan in any case within no more than 15 working days.</w:t>
        <w:br/>
        <w:t>C. In relation to the market for into-plane services:</w:t>
        <w:br/>
        <w:t>7. The notifying parties commit not to include in the final version of the Shareholders' Agreement the clause according to which both parties, in the future, will make all efforts to include in the JV resulting from the present</w:t>
      </w:r>
    </w:p>
    <w:p>
      <w:r>
        <w:rPr>
          <w:b/>
        </w:rPr>
        <w:t>[Pages 7–9]</w:t>
      </w:r>
    </w:p>
    <w:p>
      <w:r>
        <w:t>operation the shares of Shell in Spanish Intoplane Services S.L. and the respective shares of DISA and Shell in CMD Aeropuertos Canarios, S.L. Likewise, the notifying parties commit that, in the event of intending to carry out any action regarding the aforementioned shares in Spanish Intoplane Services, S.L. and in CMD Aeropuertos Canarios, S.L., they would communicate and analyze this issue beforehand with the CNC within the framework of a monitoring procedure of the present operation.</w:t>
        <w:br/>
        <w:t>VII. These commitments have an initial duration of 3 years, which may be extended for annual periods after hearing from the interested parties.</w:t>
        <w:br/>
        <w:t>VIII. The aforementioned commitments may be reviewed if the structure and/or competitive conditions in the affected markets are substantially altered, particularly as a result of the approval of the regulatory development of Royal Decree-Law 4/2013, of February 22, on measures to support entrepreneurs and stimulate growth and job creation.</w:t>
        <w:br/>
        <w:t>Third.- The Council of the CNC, having reviewed the processed file and analyzed the report on the operation, agrees with the assessment made by the Directorate of Investigation regarding the notified operation, as well as with the Proposal for Resolution submitted to the Council, since it coincides with the DI in that the set of commitments proposed by DISA on March 20, 2013, transcribed in the previous Legal Ground, is sufficient and proportionate to compensate for the risks of hindering effective competition, arising from the concentration operation that had been detected and that were included in the PCH.</w:t>
        <w:br/>
        <w:t>Fourth.- The Council agrees that, as proposed by the notifier, the commitments have an initial duration of 3 years, which will be extendable for annual periods if, in the opinion of the CNC, after those periods, there has not been a relevant modification in the structure or regulation of the considered markets that justifies their removal. Likewise, the aforementioned commitments may be reviewed if the structure and/or competitive conditions in the affected markets are substantially altered, particularly as a result of the development of the provisions established in Royal Decree-Law 4/2013, of February 22, on measures to support entrepreneurs and stimulate growth and job creation, both through Circulars from the CNE and through the corresponding regulatory development.</w:t>
        <w:br/>
        <w:t>Fifth.- The notifying parties, within 20 business days after the effective entry into force of this Resolution, in order to facilitate the execution of the acquired commitments, shall submit to the Directorate of Investigation a Detailed Action Plan (the "Action Plan"), for its approval by the CNC.</w:t>
        <w:br/>
        <w:t>Sixth.- In accordance with the provisions of Article 58.6 of Law 15/2007, this Resolution shall be executive when any of the cases provided for in that article are fulfilled.</w:t>
        <w:br/>
        <w:t>Seventh.- Non-compliance with the provisions of this Resolution shall be considered a very serious infringement according to the provisions of Article 62.4.c) of Law 15/2007.</w:t>
        <w:br/>
        <w:t>For all of which, having regard to the cited legal provisions and those of general application, the Council of the National Competition Commission,</w:t>
        <w:br/>
        <w:t>HAS RESOLVED</w:t>
        <w:br/>
        <w:t>FIRST.- In application of Article 58.4.b) of Law 15/2007, to subordinate the authorization of concentration C-0468/12 DISA/SHELL/SAE/JV to the fulfillment of the commitments proposed by the notifier that are included in the Second Legal Ground of this Resolution.</w:t>
        <w:br/>
        <w:t>SECOND.- To grant the notifying parties a period of 20 days from the date on which the Resolution becomes executive to present a Detailed Action Plan for the implementation of the commitments.</w:t>
        <w:br/>
        <w:t>Within a maximum period of one month from its receipt, said plan must be approved by the CNC, which may introduce in it the modifications it deems appropriate for the adequate fulfillment of the commitments adopted in this Resolution.</w:t>
        <w:br/>
        <w:t>THIRD.- To establish an initial duration of the commitments of three years from the approval of the Action Plan, extendable for annual periods if the market circumstances that made them necessary are not substantially modified, and reviewable under the terms established in the Fourth Legal Ground.</w:t>
        <w:br/>
        <w:t>FOURTH.- Non-compliance with the provisions of this Resolution is considered a very serious infringement according to Article 62 of Law 15/2007, which may result in the sanctions provided for in Articles 63 and 67 thereof.</w:t>
        <w:br/>
        <w:t>FIFTH.- By virtue of the provisions of Article 35.2.c) of Law 15/2007, the monitoring of this Resolution is entrusted to the Directorate of Investigation.</w:t>
        <w:br/>
        <w:t>This Resolution shall be communicated to the Directorate of Investigation of the National Competition Commission and to the Minister of Economy and Competitiveness, as provided for in Article 58.5 of Law 15/2007. Likewise, it shall be notified to the interested parties, informing them that this Resolution will not be effective, nor executive, nor will it conclude the administrative procedure if none of the two cases provided for in letters a) or b) of Article 58.6 of Law 15/2007 occurs, and that against it, if the administrative procedure is exhausted, a contentious-administrative appeal may be filed before the National Court within two months from the notification of the agreements or from the day on which the period for issuing them, provided for in the aforementioned letters a) or b) of Article 58.6 of Law 15/2007, has elapsed.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