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https://www.cnmc.es/expedientes/c047312</w:t>
      </w:r>
    </w:p>
    <w:p>
      <w:r>
        <w:t>Pages translated : 1</w:t>
      </w:r>
    </w:p>
    <w:p/>
    <w:p>
      <w:r>
        <w:rPr>
          <w:b/>
        </w:rPr>
        <w:t>[Pages 1–1]</w:t>
      </w:r>
    </w:p>
    <w:p>
      <w:r>
        <w:t>RESOLUTION (File No. C-0473/12 SMART/LA VIDA ES BELLA)</w:t>
      </w:r>
    </w:p>
    <w:p>
      <w:r>
        <w:t>COUNCIL</w:t>
      </w:r>
    </w:p>
    <w:p>
      <w:r>
        <w:t xml:space="preserve">Mr. Joaquín García Bernaldo de Quirós,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Mr. Luis Díez Martín, Counselor</w:t>
      </w:r>
    </w:p>
    <w:p>
      <w:r>
        <w:t>In Madrid, on December 5, 2012.</w:t>
      </w:r>
    </w:p>
    <w:p>
      <w:r>
        <w:t>Having reviewed the file processed in accordance with Law 15/2007, of July 3, on the Defense of Competition, concerning the concentration operation consisting of the acquisition by the company SMART &amp; Co S.A.S. of exclusive control over the companies Laved-Expecials, S.L. and Global Supplier Logistics S.L., which comprise the Spanish gift box business "La Vida es Bella" (File No. C/0473/12),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non-compete commitment beyond the scope of the Spanish territory, which will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