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https://www.cnmc.es/expedientes/c047512</w:t>
      </w:r>
    </w:p>
    <w:p>
      <w:r>
        <w:t>Pages translated : 1</w:t>
      </w:r>
    </w:p>
    <w:p/>
    <w:p>
      <w:r>
        <w:rPr>
          <w:b/>
        </w:rPr>
        <w:t>[Pages 1–1]</w:t>
      </w:r>
    </w:p>
    <w:p>
      <w:r>
        <w:t>RESOLUTION (File No. C-0475/12 BERTELSMANN/RHM</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November 20, 2012.</w:t>
      </w:r>
    </w:p>
    <w:p>
      <w:r>
        <w:t>Having reviewed the file processed in accordance with Law 15/2007, of July 3, on the Defense of Competition, concerning the concentration operation consisting of the acquisition by Bertelsmann SE &amp; Co. KGaA (BERTELSMANN) of exclusive control over Random House Mondadori, S.A. (RHM), a company over which it already held joint control. (File No. C/0475/12),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non-compete agreement, the non-solicitation agreement, and the confidentiality commitment, which shall be subject to the regulations on agreements between companies in the terms provided by section III of the Report and Proposal submitted by the Investigation Directorate.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