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https://www.cnmc.es/expedientes/c047612</w:t>
      </w:r>
    </w:p>
    <w:p>
      <w:r>
        <w:t>Pages translated : 1</w:t>
      </w:r>
    </w:p>
    <w:p/>
    <w:p>
      <w:r>
        <w:rPr>
          <w:b/>
        </w:rPr>
        <w:t>[Pages 1–1]</w:t>
      </w:r>
    </w:p>
    <w:p>
      <w:r>
        <w:t>RESOLUTION (File C-0476/12 MAXAM/ERCROS)</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Mr. Luis Díez Martín, Councilor</w:t>
      </w:r>
    </w:p>
    <w:p>
      <w:r>
        <w:t>In Madrid, on December 5, 2012.</w:t>
      </w:r>
    </w:p>
    <w:p>
      <w:r>
        <w:t>Having reviewed the file processed in accordance with Law 15/2007, of July 3, on the Defense of Competition, regarding the concentration operation consisting of the acquisition by MAXAM CHEM, S.L. (MAXAM CHEM) of the plant of ERCROS, S.A. (ERCROS), dedicated to the manufacture of concentrated nitric acid (File C/0476/12), and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non-competition agreement, which shall be subject to the regulations on agreements between companies, under the terms provided in section V of the Report and Proposal submitted by the Directorate of Investigation.</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