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https://www.cnmc.es/expedientes/c048212</w:t>
      </w:r>
    </w:p>
    <w:p>
      <w:r>
        <w:t>Pages translated : 1</w:t>
      </w:r>
    </w:p>
    <w:p/>
    <w:p>
      <w:r>
        <w:rPr>
          <w:b/>
        </w:rPr>
        <w:t>[Pages 1–1]</w:t>
      </w:r>
    </w:p>
    <w:p>
      <w:r>
        <w:t>RESOLUTION (File No. C-0482/12, AGRIAL/SOGESOL)</w:t>
        <w:br/>
        <w:t>COUNCIL</w:t>
        <w:br/>
        <w:t>Mr. Joaquín García Bernaldo de Quirós, President</w:t>
        <w:br/>
        <w:t>Mr. Julio Costas Comesaña, Councilor</w:t>
        <w:br/>
        <w:t>Ms. Mª Jesús González López, Councilor</w:t>
        <w:br/>
        <w:t>Ms. Inmaculada Gutiérrez Carrizo, Councilor</w:t>
        <w:br/>
        <w:t>Mr. Luis Díez Martín, Councilor</w:t>
        <w:br/>
        <w:t>In Madrid, on December 27, 2012.</w:t>
        <w:br/>
        <w:t>Having reviewed the file processed in accordance with Law 15/2007, of July 3, on the Defense of Competition, concerning the concentration operation consisting of the acquisition by SOCIETE COOPERATIVE AGRICOLE ET AGRO-ALIMENTAIRE AGRIAL of all shares and assets of SOGESOL S.A.U. in Spain, as well as two other companies belonging to BAKKAVOR FOODS LIMITED, whose activities are limited to French territory. (File No. C-0482/12), and in agreement with the report and the proposal submitted by the Directorate of Investigation, the Council of the National Competition Commission has resolved, in application of Article 57.2.a) of the aforementioned Law, to authorize the said concentration operation in the first phase, except with respect to the acquisition or holding of shares in a company that competes with the acquired company for exclusively financial investment purposes that do not confer directly or indirectly management functions or substantial influence in the competing company, which will be subject to the regulations on agreements between companies.</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