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https://www.cnmc.es/expedientes/c048412</w:t>
      </w:r>
    </w:p>
    <w:p>
      <w:r>
        <w:t>Pages translated : 1</w:t>
      </w:r>
    </w:p>
    <w:p/>
    <w:p>
      <w:r>
        <w:rPr>
          <w:b/>
        </w:rPr>
        <w:t>[Pages 1–1]</w:t>
      </w:r>
    </w:p>
    <w:p>
      <w:r>
        <w:t>RESOLUTION (File C-0484/12, MITCHELL/EINSA/GT MOTIVE)</w:t>
        <w:br/>
        <w:t>COUNCIL</w:t>
        <w:br/>
        <w:t>Mr. Joaquín García Bernaldo de Quirós, President</w:t>
        <w:br/>
        <w:t>Ms. Pilar Sánchez Núñez, Vice President</w:t>
        <w:br/>
        <w:t>Mr. Julio Costas Comesaña, Councilor</w:t>
        <w:br/>
        <w:t>Ms. Mª Jesús González López, Councilor</w:t>
        <w:br/>
        <w:t>Ms. Inmaculada Gutiérrez Carrizo, Councilor</w:t>
        <w:br/>
        <w:t>Mr. Luis Díez Martín, Councilor</w:t>
        <w:br/>
        <w:t>In Madrid, on December 12, 2012.</w:t>
        <w:br/>
        <w:t>Having reviewed the file processed in accordance with Law 15/2007, of July 3, on the Defense of Competition, regarding the concentration operation consisting of the joint control acquisition of GT Motive Einsa, S.A.U. by Einsa Print, S.A., which currently holds its exclusive control, and Mitchell International Inc., which acquires shares of GT Motive. (File C-0484/12), and in agreement with the report and proposal submitted by the Directorate of Investigation, the Council of the National Competition Commission has resolved, in application of Article 57.2.a) of the aforementioned Law, to authorize the said concentration operation in the first phase, except with respect to the confidentiality and non-solicitation clauses, which are subject to the regulations on agreements between companies in the terms provided by section III of the Report and Proposal submitted by the Directorate of Investigation.</w:t>
        <w:b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