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https://www.cnmc.es/expedientes/c048512</w:t>
      </w:r>
    </w:p>
    <w:p>
      <w:r>
        <w:t>Pages translated : 1</w:t>
      </w:r>
    </w:p>
    <w:p/>
    <w:p>
      <w:r>
        <w:rPr>
          <w:b/>
        </w:rPr>
        <w:t>[Pages 1–1]</w:t>
      </w:r>
    </w:p>
    <w:p>
      <w:r>
        <w:t>RESOLUTION (File No. C-0485/12, CHEPLAPHARM/VESANOID BUSINESS)</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December 19, 2012.</w:t>
        <w:br/>
        <w:t>Having reviewed the file processed in accordance with Law 15/2007, of July 3, on the Defense of Competition, concerning the concentration operation consisting of the acquisition by CHEPLAPHARM ARZNEIMITTEL GMBH of the Vesanoid Business in Spain from F. HOFFMANN-LA ROCHE LTD, through the signing of an asset purchase agreement. (File No. C-0485/12), and in agreement with the report and proposal submitted by the Investigation Directorate, the Council of the National Competition Commission has resolved, in application of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