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https://www.cnmc.es/expedientes/c048712</w:t>
      </w:r>
    </w:p>
    <w:p>
      <w:r>
        <w:t>Pages translated : 1</w:t>
      </w:r>
    </w:p>
    <w:p/>
    <w:p>
      <w:r>
        <w:rPr>
          <w:b/>
        </w:rPr>
        <w:t>[Pages 1–1]</w:t>
      </w:r>
    </w:p>
    <w:p>
      <w:r>
        <w:t>RESOLUTION (File No. C-0487/12, METALSA/ISE)</w:t>
        <w:br/>
        <w:t>COUNCIL</w:t>
        <w:br/>
        <w:t>Mr. Joaquín García Bernaldo de Quirós, President</w:t>
        <w:br/>
        <w:t>Mr. Julio Costas Comesaña, Councilor</w:t>
        <w:br/>
        <w:t>Ms. Mª Jesús González López, Councilor</w:t>
        <w:br/>
        <w:t>Ms. Inmaculada Gutiérrez Carrizo, Councilor</w:t>
        <w:br/>
        <w:t>Mr. Luis Díez Martín, Councilor</w:t>
        <w:br/>
        <w:t>In Madrid, on December 27, 2012.</w:t>
        <w:br/>
        <w:t>Having reviewed the file processed in accordance with Law 15/2007, of July 3, on the Defense of Competition, regarding the economic concentration operation consisting of the acquisition of exclusive control of the company ISE BETEILIGUNGS GMBH by METALSA GERMANY GMBH, through the purchase of 100% of its share capital from ISE HOLDING L.P. (File No. C-0487/12),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