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https://www.cnmc.es/expedientes/c048812</w:t>
      </w:r>
    </w:p>
    <w:p>
      <w:r>
        <w:t>Pages translated : 5</w:t>
      </w:r>
    </w:p>
    <w:p/>
    <w:p>
      <w:r>
        <w:rPr>
          <w:b/>
        </w:rPr>
        <w:t>[Pages 1–3]</w:t>
      </w:r>
    </w:p>
    <w:p>
      <w:r>
        <w:t>NATIONAL COMPETITION COMMISSION</w:t>
        <w:br/>
        <w:t>RESOLUTION</w:t>
        <w:br/>
        <w:t>Expte. C-0488/12 CaixaBank/Banco de Valencia</w:t>
        <w:br/>
        <w:t>Council:</w:t>
        <w:br/>
        <w:t>Mr. Joaquín García Bernaldo de Quirós, President</w:t>
        <w:br/>
        <w:t>Ms. Pilar Sánchez Núñez, Vice President</w:t>
        <w:br/>
        <w:t>Mr. Julio Costas Comesaña, Councilor</w:t>
        <w:br/>
        <w:t>Ms. María Jesús González López, Councilor</w:t>
        <w:br/>
        <w:t>Ms. Inmaculada Gutiérrez Carrizo, Councilor</w:t>
        <w:br/>
        <w:t>Mr. Luis Diez Martín, Councilor</w:t>
        <w:br/>
        <w:t>Madrid, February 28, 2013</w:t>
        <w:br/>
        <w:t>The Council of the National Competition Commission (the CNC Council), with the composition expressed and with the rapporteur being Councilor Ms. Pilar Sánchez Núñez, has issued this Resolution under Article 57 of Law 15/2007, of July 3, on Competition Defense (hereinafter Law 15/2007) in the concentration file C-0488/12 CaixaBank/Banco de Valencia regarding the economic concentration operation consisting of the acquisition of exclusive control of BANCO DE VALENCIA, S.A. by CAIXABANK, S.A. (CAIXABANK).</w:t>
        <w:br/>
        <w:t>FACTUAL BACKGROUND</w:t>
        <w:br/>
        <w:t>1. On December 14, 2012, a notification regarding the economic concentration consisting of the acquisition by CAIXABANK, S.A. of exclusive control of BANCO DE VALENCIA, S.A. was received by the Investigation Directorate of the National Competition Commission. This notification is made by the acquiring company, CAIXABANK S.A., as established by Law 15/2007 in its Article 9, for exceeding the threshold established in Article 8.1.b).</w:t>
        <w:br/>
        <w:t>2. In accordance with Article 57.1 of Law 15/2007, of July 3, on Competition Defense, the Investigation Directorate formed a file, requesting the mandatory report from the Bank of Spain on December 18, with the corresponding suspension of the maximum period for the CNC Council to issue a resolution. On February 4, after this request was reiterated, the aforementioned report was received, and thus the suspension of the time limit was lifted, setting the new maximum resolution date in the first phase for March 15, 2013.</w:t>
        <w:br/>
        <w:t>3. On February 27, 2012, CAIXABANK submitted to the CNC a proposal for commitments consisting of:</w:t>
        <w:br/>
        <w:t>"CaixaBank commits that there will not be simultaneously any directors appointed by it or its parent entity, Caja de Ahorros y Pensiones de Barcelona ("la Caixa"), on the boards of Aguas de Valencia, S.A. ('Aguas de Valencia') and Sociedad General de Aguas de Barcelona, S.A. ("AGBAR). Consequently, within 45 days from the authorization of the concentration operation C/0488/12 CAIXABANK/BANCO DE VALENCIA, the directors appointed by La Caixa on the board of AGBAR, or the directors of Aguas de Valencia appointed by Banco de Valencia, will cease their positions." And through a supplementary letter sent to the CNC, CaixaBank adds that: "the commitment not to have directors simultaneously on the boards of directors of AGBAR and Aguas de Valencia also extends to any executive position or delegated committee of both companies."</w:t>
        <w:br/>
        <w:t>4. On February 27, 2013, the Investigation Directorate submitted its Report and Proposal for Resolution to the CNC Council. The Investigation Directorate understands that the proposed operation focuses on the banking sector and especially on the retail banking market. However, the operation gives rise to a simultaneous participation of the resulting entity in AGUAS DE VALENCIA S.A. and AGBAR which, according to the DI, could pose a risk to effective competition in the market for comprehensive water management. It considers that the commitments presented by CAIXABANK on February 27, 2013, included in paragraphs 69 and 70 of its Proposal Report, are adequate, sufficient, and proportionate to avoid the possible risks of coordination of the behavior of both entities, competitors in the comprehensive water management. Consequently, taking into account the report from the BDE and the commitments presented, the Investigation Directorate proposes to authorize the concentration with the commitments offered by the notifier, in application of Article 57.2.b) of Law 15/2007, of July 3, on Competition Defense.</w:t>
        <w:br/>
        <w:t>5. The Council concluded deliberating on this file and its ruling in an extraordinary plenary session on February 27, 2013.</w:t>
        <w:br/>
        <w:t>6. CAIXABANK, S.A. is interested in this file.</w:t>
        <w:br/>
        <w:t>LEGAL GROUNDS</w:t>
        <w:br/>
        <w:t>First.- In accordance with Article 57.2 of Law 15/2007, based on the report and the proposal for resolution from the Investigation Directorate, the Council of the National Competition Commission will issue a resolution in the first phase, in which it may: a) Authorize the concentration; b) Condition the authorization of the concentration on the fulfillment of certain commitments proposed by the notifiers or conditions; c) Agree to initiate the second phase of the procedure when it considers that the concentration may hinder the maintenance of effective competition in all or part of the national market; d) Agree to refer the concentration to the European Commission in accordance with Article 22 of Council Regulation (EC) No. 139/2004 of January 20, 2004, on the control of concentrations between companies and the filing of the corresponding notification. In this case, the notifying party will be informed of this referral, indicating that the competence to make a decision on the matter corresponds to the European Commission in accordance with community regulations and that, therefore, the operation cannot benefit from the positive silence provided for in Article 38, and e) Agree to file the proceedings in the cases provided for in this Law.</w:t>
        <w:br/>
        <w:t xml:space="preserve">Second. The Council shares the analysis carried out by the Investigation Directorate in the present operation, which takes place in the banking sector, and whose market primarily affected by the operation is the retail banking market, where it is not foreseeable that the notified operation will pose an obstacle to competition. </w:t>
        <w:br/>
        <w:t xml:space="preserve">Furthermore, the analysis of this economic concentration operation reveals that this operation entails that the resulting group, in this case La Caixa, has a significant presence in the capital of two companies operating in the same market, that of comprehensive water management. Its participation in them grants it the right to appoint part of the respective Boards of Directors of these companies, which would also facilitate the appointment of any executive position or delegated committee of both companies. This implies that as a result of the operation, a structural link is created between two competing companies, or at least between companies on which a reference competition can be established. As the Investigation Directorate points out in its Proposal Report, the simultaneous presence of CAIXABANK or LA CAIXA in the management and decision-making bodies of both competitors could pose a risk of hindering effective competition in that market by facilitating the exchange of strategic information and the coordination of their competitive behaviors. </w:t>
        <w:br/>
        <w:t>However, this type of effect can be removed through commitments such as those provided by the notifier, as indicated in paragraph 58 of the European Commission's Communication on acceptable solutions in the process of authorizing an economic concentration “(...) the Commission may exceptionally accept the waiver of rights linked to minority holdings in a competitor when it can be excluded, given the specific circumstances of the case, that the financial benefits derived from a minority stake in a competitor would in themselves raise competition issues.” It continues by stating, “In such circumstances, the parties must waive all rights linked to such participation that influence behavior in terms of competition, such as representation on the board of directors, veto rights, and information rights.” Finally, it adds that “The Commission may only accept that this link is cut...</w:t>
      </w:r>
    </w:p>
    <w:p>
      <w:r>
        <w:rPr>
          <w:b/>
        </w:rPr>
        <w:t>[Pages 4–5]</w:t>
      </w:r>
    </w:p>
    <w:p>
      <w:r>
        <w:t>NATIONAL COMPETITION COMMISSION</w:t>
      </w:r>
    </w:p>
    <w:p>
      <w:r>
        <w:t>with a competitor when rights are waived in their entirety and permanently."</w:t>
      </w:r>
    </w:p>
    <w:p>
      <w:r>
        <w:t>And in accordance with the provisions of Article 69.5 of the Competition Defense Regulation (Royal Decree 261/2008, of February 22, RDC): "Commitments presented in the first phase can only be accepted when the competition issue identified is clearly identifiable and can be easily remedied."</w:t>
      </w:r>
    </w:p>
    <w:p>
      <w:r>
        <w:t>The notifier, through the commitments presented, and its supplementary document, commits not to have simultaneously in both entities members appointed by him on the respective Boards of Directors, nor in the delegated committees, nor in any executive position.</w:t>
      </w:r>
    </w:p>
    <w:p>
      <w:r>
        <w:t>In view of the potential harm to competition in the market for the comprehensive management of water resulting from the analyzed operation, this Council considers that it is clearly identifiable and can be easily remedied, as required by Article 69.5 of the RDC for the commitments presented in the first phase to be accepted. This is so because the commitment presented by the notifier reduces the risks to competition arising from the structural link resulting from the concentration operation, regardless of which entity he waives the appointment of Directors, members of the delegated committee, or executive positions. Thus, these commitments can be classified as sufficient, proportionate, easily implementable, and easily monitored, which guarantees their full effectiveness in eliminating the potential risks of hindering effective competition arising from the concentration operation under analysis.</w:t>
      </w:r>
    </w:p>
    <w:p>
      <w:r>
        <w:t>Therefore, having reviewed the processed file, analyzed the report on the operation, and agreeing with the assessment made by the Investigation Directorate regarding the effects that the notified operation would have on competition in the market, and on the effectiveness of the commitments presented, and having considered the cited legal provisions and those of general application, the Council of the National Competition Commission,</w:t>
      </w:r>
    </w:p>
    <w:p>
      <w:r>
        <w:t>HAS RESOLVED</w:t>
      </w:r>
    </w:p>
    <w:p>
      <w:r>
        <w:t>FIRST.- In application of Article 57.2.b) of Law 15/2007, to subordinate the authorization of the concentration to the fulfillment of the commitments proposed by the notifier as set out in the Background of Fact 3.</w:t>
      </w:r>
    </w:p>
    <w:p>
      <w:r>
        <w:t>SECOND.- By virtue of the provisions of Article 35.2.c) of Law 15/2007, the monitoring of this Resolution is entrusted to the Investigation Directorate.</w:t>
      </w:r>
    </w:p>
    <w:p>
      <w:r>
        <w:t>THIRD.- The non-compliance with the provisions of this Resolution is considered a very serious infringement in accordance with Article 62 of Law 15/2007, which may result in the sanctions provided for in Articles 63 and 67 of the same.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