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https://www.cnmc.es/expedientes/c049013</w:t>
      </w:r>
    </w:p>
    <w:p>
      <w:r>
        <w:t>Pages translated : 2</w:t>
      </w:r>
    </w:p>
    <w:p/>
    <w:p>
      <w:r>
        <w:rPr>
          <w:b/>
        </w:rPr>
        <w:t>[Pages 1–2]</w:t>
      </w:r>
    </w:p>
    <w:p>
      <w:r>
        <w:t>RESOLUTION (File No. C-0490/13, COCA COLA BOTTLERS)</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February 13, 2013.</w:t>
        <w:br/>
        <w:t>Having reviewed the file processed in accordance with Law 15/2007, of July 3, on the Defense of Competition, regarding the economic concentration operation consisting of the integration by the bottlers COBEGA, S.A., CASTELLANA DE BEBIDAS GASEOSAS, S.A., BEBIDAS GASEOSAS DEL NOROESTE, S.A., COMPAÑÍA NORTEÑA DE BEBIDAS GASEOSAS NORBEGA, S.A.U., COMPAÑÍA LEVANTINA DE BEBIDAS GASEOSAS, S.A., COMPAÑÍA ASTURIANA DE BEBIDAS GASEOSAS, S.A., REFRESCOS ENVASADOS DEL SUR, S.A., (the BOTTLERS), into a newly created company, IBÉRICA DE BEBIDAS NO ALCOHÓLICAS, S.A., of all their assets related to the bottling business of products of THE COCA COLA COMPANY in Spain, Andorra, and Portugal. Excluded from the operation are the other businesses that the shareholders of the BOTTLERS may have in other sectors or in the bottling sector in other countries (File No. C-0490/13). Agreeing with the Report and proposal submitted by the Directorate of Investigation, the Council of the National Competition Commission has resolved, in application of Article 57.2.a) of the aforementioned Law, to authorize the said concentration operation in the first phase, with the following caveat. The service provision and distribution agreements entered into by the BOTTLERS or their subsidiaries with related parties that are outside the scope of the operation whose duration exceeds five years, that refer to unlimited quantities or that have as their object the provision of services or distribution agreements on an exclusive basis, will be subject to the regulations on agreements between companies, in accordance with what is indicated in section III of the Report and Proposal for Resolution submitted by the Directorate of Investigation. For this purpose, “related parties” are understood to be those companies that are owned by the shareholders of the BOTTLERS and that are not part of this operation, having been excluded from the integration perimeter of the same.</w:t>
        <w:br/>
        <w:t>C/ Barquillo 5 28004 Madrid</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