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https://www.cnmc.es/expedientes/c049113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C-0491/13 STIRLING/CARTONPLAST)</w:t>
        <w:br/>
        <w:t>COUNCIL</w:t>
        <w:br/>
        <w:t>Mr. Joaquín García Bernaldo de Quirós, President</w:t>
        <w:br/>
        <w:t>Ms. Pilar Sánchez Nuñez, Councilor</w:t>
        <w:br/>
        <w:t>Mr. Julio Costas Comesaña, Councilor</w:t>
        <w:br/>
        <w:t>Ms. Mª Jesús González López, Councilor</w:t>
        <w:br/>
        <w:t>Ms. Inmaculada Gutiérrez Carrizo, Councilor</w:t>
        <w:br/>
        <w:t>Mr. Luis Díez Martín, Councilor</w:t>
        <w:br/>
        <w:t>In Madrid, on January 16, 2013.</w:t>
        <w:br/>
        <w:t>Having reviewed the file processed in accordance with Law 15/2007, of July 3, on</w:t>
        <w:br/>
        <w:t>the Defense of Competition, concerning the economic concentration operation</w:t>
        <w:br/>
        <w:t>consisting of the acquisition by STIRLING SQUARE CAPITAL</w:t>
        <w:br/>
        <w:t>PARTNERS SECOND FUND HOLDINGS LIMITED of exclusive control over</w:t>
        <w:br/>
        <w:t>TRADING CARTONPLAST IBÉRICA, S.A., through the acquisition of all</w:t>
        <w:br/>
        <w:t>shares of its share capital (File C-0491/13), and in agreement with the</w:t>
        <w:br/>
        <w:t>report and proposal submitted by the Directorate of Investigation, the Council of the</w:t>
        <w:br/>
        <w:t>National Competition Commission has resolved to archive the concentration, in</w:t>
        <w:br/>
        <w:t>application of Article 57.2 e) of the aforementioned Law for not meeting the</w:t>
        <w:br/>
        <w:t>notification thresholds established in Article 8.1 a) and b) of Law 15/2007 on the</w:t>
        <w:br/>
        <w:t>Defense of Competition.</w:t>
        <w:br/>
        <w:t>This Resolution shall be communicated to the Directorate of Investigation of the</w:t>
        <w:br/>
        <w:t>National Competition Commission and notified to the interested parties, informing</w:t>
        <w:br/>
        <w:t>them that it concludes the administrative procedure and that a contentious-administrative</w:t>
        <w:br/>
        <w:t>appeal may be filed against it before the National Court, within two months from</w:t>
        <w:br/>
        <w:t>the date of its 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