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https://www.cnmc.es/expedientes/c049613</w:t>
      </w:r>
    </w:p>
    <w:p>
      <w:r>
        <w:t>Pages translated : 1</w:t>
      </w:r>
    </w:p>
    <w:p/>
    <w:p>
      <w:r>
        <w:rPr>
          <w:b/>
        </w:rPr>
        <w:t>[Pages 1–1]</w:t>
      </w:r>
    </w:p>
    <w:p>
      <w:r>
        <w:t>RESOLUTION</w:t>
        <w:br/>
        <w:t>(File No. C-0496/13 JINSHENG/OERLIKON)</w:t>
        <w:br/>
        <w:t>COUNCIL</w:t>
        <w:br/>
        <w:t>Mr. Joaquín García Bernaldo de Quirós, President</w:t>
        <w:br/>
        <w:t>Mr. Julio Costas Comesaña, Councilor</w:t>
        <w:br/>
        <w:t>Ms. Mª Jesús González López, Councilor</w:t>
        <w:br/>
        <w:t>Ms. Inmaculada Gutiérrez Carrizo, Councilor</w:t>
        <w:br/>
        <w:t>Mr. Luis Díez Martín, Councilor</w:t>
        <w:br/>
        <w:t>In Madrid, on February 20, 2013.</w:t>
      </w:r>
    </w:p>
    <w:p>
      <w:r>
        <w:t>Having reviewed the file processed in accordance with Law 15/2007, of July 3, on the Defense of Competition, regarding the economic concentration operation consisting of the acquisition by JIANGSU JINSHENG INDUSTRY Co. LTD., of exclusive control over the natural fiber textile machinery business of the company OERLIKON CORPORATION AG, file No. C-0496/13 JINSHENG/OERLIKON, and in agreement with the report and proposal submitted by the Investigation Directorate, the Council of the National Competition Commission has resolved, in application of Article 57.2.a) of the aforementioned Law, to authorize the said concentration operation in the first phase, except with respect to the content of the non-compete agreement if its duration exceeds three years, to the non-solicitation clause that binds the buyer and to the confidentiality clause if its duration exceeds three years, which will be subject to the regulations on agreements between companies as set forth in section IV of the Report and Proposal for Resolution of the D.I.</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