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https://www.cnmc.es/expedientes/c049813</w:t>
      </w:r>
    </w:p>
    <w:p>
      <w:r>
        <w:t>Pages translated : 1</w:t>
      </w:r>
    </w:p>
    <w:p/>
    <w:p>
      <w:r>
        <w:rPr>
          <w:b/>
        </w:rPr>
        <w:t>[Pages 1–1]</w:t>
      </w:r>
    </w:p>
    <w:p>
      <w:r>
        <w:t>RESOLUTION</w:t>
        <w:br/>
        <w:t>(File No. C-0498/13 BANKIA/ASEVAL)</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April 3, 2013</w:t>
        <w:br/>
        <w:t>Having reviewed the file processed in accordance with Law 15/2007, of July 3, on the Defense of Competition, concerning the economic concentration operation consisting of the acquisition of exclusive control of Aseguradora Valenciana, S.A. de Seguros y Reaseguros by BANKIA, S.A., over which it previously held joint control at 50% with the company Aviva Europe S.E (File No. C-0498/13 BANKIA/ASEVAL),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