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https://www.cnmc.es/expedientes/c049913</w:t>
      </w:r>
    </w:p>
    <w:p>
      <w:r>
        <w:t>Pages translated : 1</w:t>
      </w:r>
    </w:p>
    <w:p/>
    <w:p>
      <w:r>
        <w:rPr>
          <w:b/>
        </w:rPr>
        <w:t>[Pages 1–1]</w:t>
      </w:r>
    </w:p>
    <w:p>
      <w:r>
        <w:t>RESOLUTION (File No. C-0499/13 DIVINA PASTORA / L´ALIANÇA)</w:t>
      </w:r>
    </w:p>
    <w:p>
      <w:r>
        <w:t>COUNCIL</w:t>
      </w:r>
    </w:p>
    <w:p>
      <w: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Mr. Luis Díez Martín, Councilor</w:t>
      </w:r>
    </w:p>
    <w:p>
      <w:r>
        <w:t>In Madrid, on April 10, 2013</w:t>
      </w:r>
    </w:p>
    <w:p>
      <w:r>
        <w:t>Having reviewed the file processed in accordance with Law 15/2007, of July 3, on the Defense of Competition, concerning the economic concentration operation consisting of the acquisition by MUTUALIDAD GENERAL DE PREVISIÓN DEL HOGAR DIVINA PASTORA, MUTUALIDAD DE PREVISIÓN SOCIAL A PRIMA FIJA of exclusive control over QUINTA DE SALUT L´ALIANÇA, MUTUALITAT DE PREVISIÓ SOCIAL A QUOTA FIXA I VARIABLE, through the absorption of the latter by the former (File No.: C-0499/13),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