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https://www.cnmc.es/expedientes/c050313</w:t>
      </w:r>
    </w:p>
    <w:p>
      <w:r>
        <w:t>Pages translated : 1</w:t>
      </w:r>
    </w:p>
    <w:p/>
    <w:p>
      <w:r>
        <w:rPr>
          <w:b/>
        </w:rPr>
        <w:t>[Pages 1–1]</w:t>
      </w:r>
    </w:p>
    <w:p>
      <w:r>
        <w:t xml:space="preserve">RESOLUTION  </w:t>
        <w:br/>
        <w:t xml:space="preserve">(C-0503/13 INDAS/ALBASA)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Madrid, April 24, 2013</w:t>
      </w:r>
    </w:p>
    <w:p>
      <w:r>
        <w:t>Having reviewed the file processed in accordance with Law 15/2007, of July 3, on the Defense of Competition, regarding the economic concentration operation consisting of the acquisition of exclusive control by LABORATORIOS INDAS, S.A.U. of ALGODONES del BAGES, S.A. and certain assets and rights of the incontinence business of the companies Textil Planas Oliveras, s.a. and Blanqueo y Acabados Textiles, S.A. (File C-0503/13 INDAS/ALBASA),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