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https://www.cnmc.es/expedientes/c050513</w:t>
      </w:r>
    </w:p>
    <w:p>
      <w:r>
        <w:t>Pages translated : 1</w:t>
      </w:r>
    </w:p>
    <w:p/>
    <w:p>
      <w:r>
        <w:rPr>
          <w:b/>
        </w:rPr>
        <w:t>[Pages 1–1]</w:t>
      </w:r>
    </w:p>
    <w:p>
      <w:r>
        <w:t xml:space="preserve">RESOLUTION (C-0505/13 ZAMBON/PROFILE)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Madrid, May 8, 2013</w:t>
      </w:r>
    </w:p>
    <w:p>
      <w:r>
        <w:t>Having reviewed the file processed in accordance with Law 15/2007, of July 3, on the Defense of Competition, regarding the economic concentration operation consisting of the acquisition by ZAMBON SPA (ZAMBON) of all shares of PROFILE PHARMA LIMITED (PROFILE) from its current owner, PHILIPS UK1. (File C-0505/13 ZAMBON/PROFILE), and in agreement with the report and proposal submitted by the Investigation Directorate, the Council of the National Commission on Competition has resolved, in application of Article 57.2.a) of the aforementioned Law, to authorize the said concentration operation in the first phase, except for the equipment supply contract which will be subject to the regulations on agreements between companies. Likewise, the non-solicitation clauses for employees and the non-competition clause that exceed the territory in which the acquired entity is present will be excluded from the concentration operation.</w:t>
      </w:r>
    </w:p>
    <w:p>
      <w:r>
        <w:t>This Resolution shall be communicated to the Investigation Directorate of the National Commission on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1 Philips UK acquired PROFILE in 2008 as part of a larger operation in which it also acquired the ownership of the company dedicated to the manufacture of inhaled medication nebulizers “Respironics” (European Commission decision in case COMP/M.5033 PHILIPS/RESPIRONICS).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