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https://www.cnmc.es/expedientes/c050713</w:t>
      </w:r>
    </w:p>
    <w:p>
      <w:r>
        <w:t>Pages translated : 1</w:t>
      </w:r>
    </w:p>
    <w:p/>
    <w:p>
      <w:r>
        <w:rPr>
          <w:b/>
        </w:rPr>
        <w:t>[Pages 1–1]</w:t>
      </w:r>
    </w:p>
    <w:p>
      <w:r>
        <w:t>RESOLUTION (File No. C/0507/13, NAMMO/GENERAL DYNAMICS)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June 5, 2013.</w:t>
        <w:br/>
        <w:t>Having reviewed the file processed in accordance with Law 15/2007, of July 3, on the Defense of Competition, concerning the concentration operation consisting of the acquisition by NAMMO A.S. (NAMMO) of the business operated by GENERAL DYNAMICS EUROPEAN LAND SYSTEMS-SANTA BARBARA SISTEMAS S.A. (GDELS SBS) at the Palencia Factory (FAP), File No. C/0507/13, NAMMO/GENERAL DYNAMICS, and in agreement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confidentiality clause which, as it exceeds the period of three years, shall be considered outside the operation and shall therefore be subject to the regulations on agreements between companies as well as the part of the buyer.</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