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https://www.cnmc.es/expedientes/c050813</w:t>
      </w:r>
    </w:p>
    <w:p>
      <w:r>
        <w:t>Pages translated : 8</w:t>
      </w:r>
    </w:p>
    <w:p/>
    <w:p>
      <w:r>
        <w:rPr>
          <w:b/>
        </w:rPr>
        <w:t>[Pages 1–3]</w:t>
      </w:r>
    </w:p>
    <w:p>
      <w:r>
        <w:t>NATIONAL COMPETITION COMMISSION</w:t>
        <w:br/>
        <w:t>RESOLUTION</w:t>
        <w:br/>
        <w:t>File C/0508/13, BOYACÁ-REDEPRENSA-RDE</w:t>
        <w:br/>
        <w:t>Council</w:t>
        <w:br/>
        <w:t>Mr. Joaquín García Bernaldo de Quirós, President</w:t>
        <w:br/>
        <w:t>Ms. Pilar Sánchez Núñez, Vice President</w:t>
        <w:br/>
        <w:t>Mr. Julio Costas Comesaña, Councilor</w:t>
        <w:br/>
        <w:t>Ms. María Jesús González López, Councilor</w:t>
        <w:br/>
        <w:t>Ms. Inmaculada Gutiérrez Carrizo, Councilor</w:t>
        <w:br/>
        <w:t>Madrid, August 26, 2013</w:t>
        <w:br/>
        <w:t>The Council of the National Competition Commission, with the composition expressed and being the rapporteur Councilor Mr. Julio Costas Comesaña, pursuant to Article 57.2. b) of Law 15/2007, of July 3, on the Defense of Competition, has issued this Resolution in the concentration file C/0508/13 BOYACÁ-REDEPRENSA-RDE, regarding the acquisition by Distribuciones Generales Boyacá, S.L. (hereinafter, BOYACÁ) of exclusive control over a number of companies present in the wholesale distribution sector of periodical publications.</w:t>
        <w:br/>
        <w:t>FACTUAL BACKGROUND</w:t>
        <w:br/>
        <w:t>1. On May 10, 2013, a notification regarding the acquisition by BOYACÁ of exclusive control over a number of companies present in the wholesale distribution sector of periodical publications was received by the National Competition Commission (hereinafter, CNC).</w:t>
        <w:br/>
        <w:t>2. This notification was made by BOYACÁ in accordance with the provisions of Article 9 of Law 15/2007, of July 3, on the Defense of Competition (hereinafter, LDC), for exceeding the thresholds established in Article 8.1. a) and b) of the aforementioned regulation. This operation is subject to the provisions of Royal Decree 261/2008, of February 22, which approves the Competition Defense Regulation (hereinafter, RDC).</w:t>
        <w:br/>
        <w:t>3. In accordance with Article 57.1 of the LDC, the Investigation Directorate of the CNC formed a file and prepared the corresponding report on the concentration operation on May 27, 2013, along with a resolution proposal that was submitted to the Council.</w:t>
        <w:br/>
        <w:t>4. On May 29, 2013, the Council of the CNC issued a Resolution in the first phase, in which it agreed to initiate the second phase of the procedure in accordance with Article 57.2.c) of the LDC, considering that the aforementioned concentration operation may hinder the maintenance of effective competition in all or some of the considered markets.</w:t>
        <w:br/>
        <w:t>5. The Investigation Directorate has instructed the procedure in the second phase in accordance with the provisions of the LDC, particularly in Articles 58, 59, and 37 of Law 15/2007.</w:t>
        <w:br/>
        <w:t>6. In application of Article 58.1 of the LDC, the Investigation Directorate prepared a brief note on the concentration which, once the confidential aspects were resolved, was made public on June 4, 2013, and brought to the attention of the natural or legal persons who could be affected and the Council of Consumers and Users, so that they could present their allegations within a period of 10 days.</w:t>
        <w:br/>
        <w:t>7. On the other hand, within the framework of the second phase of the reference file, and according to the provisions of Articles 39 and 55.6 of the LDC, the Investigation Directorate requested, on June 4, 2013, the necessary information for the resolution of the reference file from various operators in the publishing and/or distribution sector of periodical publications, and from an association of retail sellers of periodical publications (folios 1435 to 1554).</w:t>
        <w:br/>
        <w:t>8. According to the provisions of Article 66 of the RDC, the Council of the CNC resolved to accept, on July 3, 2013, the participation as interested parties of Unidad Editorial, S.A., Asociación de Vendedores Profesionales de Prensa de Madrid (hereinafter, AVPPM), and Agrupación Nacional de Vendedores de Prensa (hereinafter, ANVP).</w:t>
        <w:br/>
        <w:t>9. On July 8, 2013, the Investigation Directorate, in application of Article 58.2 of the LDC, issued a Statement of Facts (hereinafter, PCH) where the possible obstacles to competition arising from the concentration operation were collected, which was notified on that date to BOYACÁ and the following day to the rest of the interested parties, so that they could formulate allegations within a period of 10 days.</w:t>
        <w:br/>
        <w:t>10. According to the provisions of Article 66 of the RDC, on July 17, 2013, the Council of the CNC resolved to accept as interested in the file the Confederación de Vendedores de Prensa de España (hereinafter, COVEPRES).</w:t>
        <w:br/>
        <w:t>11. The allegations of BOYACÁ to the PCH were received on July 19, 2013. Along with the allegations, pursuant to the provisions of Article 59 of the LDC, BOYACÁ submitted a proposal of commitments aimed at resolving the obstacles to maintaining effective competition that may arise from the notified concentration operation. In accordance with the provisions of Article 59.2 of the LDC, the submission of these commitments extended the deadline for issuing and notifying the Resolution of the reference file by 15 days.</w:t>
        <w:br/>
        <w:t>12. This proposal of commitments was submitted by the Investigation Directorate to the CNC Council on July 22, 2013, pursuant to the provisions of Article 69.3 of the RDC.</w:t>
        <w:br/>
        <w:t>13. Likewise, pursuant to the provisions of Article 59.3 of the LDC, on that same date, the commitments presented were forwarded to the interested parties in order to assess their suitability to resolve the competition issues presented. These requests for information suspended the deadline for resolving the file, in accordance with Article 37.1. a) of the LDC, which was lifted on July 26, 2013.</w:t>
        <w:br/>
        <w:t>14. On July 31, 2013, the final proposal of commitments submitted by BOYACÁ was received by the CNC, which the Investigation Directorate submitted to the Council on the same day.</w:t>
        <w:br/>
        <w:t>15. On August 9, 2013, the Investigation Directorate submitted to the Council a Report on the operation and a proposal for a definitive resolution, as provided for in Article 58.4 of the LDC. The Investigation Directorate proposes to condition the authorization of the concentration on compliance with the commitments proposed by the notifying parties that were submitted to the CNC on July 31, 2013.</w:t>
        <w:br/>
        <w:t>16. Taking into account the suspensions of deadlines agreed by the Investigation Directorate throughout the processing of the file, in accordance with Article 37.1.b) of the LDC, and the extension of the deadline provided for in Article 59.2 of the same Law as a consequence of the submission of commitments, the deadline for resolving this file in the second phase is September 9, 2013, inclusive.</w:t>
        <w:br/>
        <w:t>17. The Council of the National Competition Commission concluded the deliberation and ruling of this file in a plenary meeting on August 19, 2013.</w:t>
        <w:br/>
        <w:t>18. The interested parties in this file are:</w:t>
        <w:br/>
        <w:t>- Distribuciones Generales Boyacá, S.L. (BOYACÁ).</w:t>
        <w:br/>
        <w:t>- Unidad Editorial, S.A.</w:t>
        <w:br/>
        <w:t>- Asociación de Vendedores Profesionales de Prensa de Madrid (AVPPM).</w:t>
        <w:br/>
        <w:t>- Agrupación Nacional de Vendedores de Prensa (ANVP).</w:t>
        <w:br/>
        <w:t>- Confederación de Vendedores de Prensa de España (COVEPRES).</w:t>
        <w:br/>
        <w:t>LEGAL GROUNDS</w:t>
        <w:br/>
        <w:t>First.- In accordance with Article 58.4 of the LDC, based on the definitive resolution proposal of the Investigation Directorate, the Council of the National Competition Commission, in the second phase, will adopt the final decision through a resolution, in which it may: a) Authorize the concentration; b) Condition the</w:t>
      </w:r>
    </w:p>
    <w:p>
      <w:r>
        <w:rPr>
          <w:b/>
        </w:rPr>
        <w:t>[Pages 4–6]</w:t>
      </w:r>
    </w:p>
    <w:p>
      <w:r>
        <w:t>NATIONAL COMPETITION COMMISSION</w:t>
      </w:r>
    </w:p>
    <w:p>
      <w:r>
        <w:t>authorization of the concentration subject to compliance with certain commitments proposed by the notifying parties or conditions; c) Prohibit the concentration; and d) Agree to file the proceedings in the cases provided for in the Law.</w:t>
      </w:r>
    </w:p>
    <w:p>
      <w:r>
        <w:t>Second.- In accordance with the provisions of Article 59 of Law 15/2007, and with the aim of resolving the possible obstacles to maintaining effective competition that had been detected, BOYACÁ submitted a set of commitments on July 31, 2013.</w:t>
      </w:r>
    </w:p>
    <w:p>
      <w:r>
        <w:t>In compliance with the provisions of Article 69.7 of the RDC, said final proposal of commitments has been included in the Annex of the Second Phase Report and Resolution Proposal, and summarized in section IX thereof in the following terms:</w:t>
      </w:r>
    </w:p>
    <w:p>
      <w:r>
        <w:t>(352) In the case of DIMA and since both the monitoring file VC/0119/08 and the shareholders' agreement to which the validity of the commitments that allowed the authorization of the concentration file C/0119/08 were still in force, BOYACÁ proposes its adaptability to the framework of the commitments presented in the present file, ensuring a homogeneous treatment among the different geographical areas affected by the present concentration.</w:t>
      </w:r>
    </w:p>
    <w:p>
      <w:r>
        <w:t>a) Limitations of the exclusive contracts signed with the publishers</w:t>
      </w:r>
    </w:p>
    <w:p>
      <w:r>
        <w:t>(353) BOYACÁ will modify the exclusive distribution contracts signed with GRUPO PRISA and UNIDAD EDITORIAL, limiting the duration to [more than three years] and eliminating tacit renewals and penalties in case of non-renewal.</w:t>
      </w:r>
    </w:p>
    <w:p>
      <w:r>
        <w:t>(354) Only the possibility of penalty in the event of not renewing the exclusive contract for […] will be maintained.</w:t>
      </w:r>
    </w:p>
    <w:p>
      <w:r>
        <w:t>(355) Additionally, the exclusive distribution contracts will not extend to future products nor will they include preferential clauses.</w:t>
      </w:r>
    </w:p>
    <w:p>
      <w:r>
        <w:t>(356) Finally, it is established that BOYACÁ will not necessarily carry out the service with its own means but may resort to those currently used by other distributors.</w:t>
      </w:r>
    </w:p>
    <w:p>
      <w:r>
        <w:t>b) Commitments towards publishers</w:t>
      </w:r>
    </w:p>
    <w:p>
      <w:r>
        <w:t>(357) For current publisher clients, the existing conditions will be maintained for a period of five years.</w:t>
      </w:r>
    </w:p>
    <w:p>
      <w:r>
        <w:t>(358) The commitments towards non-client publishers materialize in the proposal to offer distribution services to all daily press publishing groups that request it, under commercial and economic conditions equivalent to those applied to the rest of the client publishers.</w:t>
      </w:r>
    </w:p>
    <w:p>
      <w:r>
        <w:t>(359) For the calculation of what BOYACÁ calls "equivalent conditions," the following factors will be taken into account: geographical scope; number of coverage sales points; number of copies to be distributed; and percentage of returns.</w:t>
      </w:r>
    </w:p>
    <w:p>
      <w:r>
        <w:t>(360) In order to facilitate the implementation and monitoring of the commitments, a standard offer will be developed to be applied by the controlled distributors that facilitates transparency, in line with that authorized for DIMA in the monitoring file VC/0119/08.</w:t>
      </w:r>
    </w:p>
    <w:p>
      <w:r>
        <w:t>c) Commitments towards wholesale distributors</w:t>
      </w:r>
    </w:p>
    <w:p>
      <w:r>
        <w:t>(361) First, BOYACÁ commits to maintaining for five years the conditions for the wholesale distributors that currently contract its services for the regional distribution of periodical publications.</w:t>
      </w:r>
    </w:p>
    <w:p>
      <w:r>
        <w:t>(362) Likewise, with regard to future clients, BOYACÁ commits to providing distribution services to all wholesale distributors of periodical publications (whether daily press or magazines and collectibles) that request it under transparent, homogeneous, and non-discriminatory conditions.</w:t>
      </w:r>
    </w:p>
    <w:p>
      <w:r>
        <w:t>d) Commitments towards sales points</w:t>
      </w:r>
    </w:p>
    <w:p>
      <w:r>
        <w:t>(363) As is done with other groups, in the case of sales points, BOYACÁ establishes two lines of commitments depending on whether they refer to currently active sales points or to future sales points that wish to distribute daily press.</w:t>
      </w:r>
    </w:p>
    <w:p>
      <w:r>
        <w:t>(364) Regarding the former, BOYACÁ proposes to maintain for a period of five years the commercial and economic conditions that have been applied to the sales points that currently maintain commercial relationships with the distributors that will be controlled by BOYACÁ.</w:t>
      </w:r>
    </w:p>
    <w:p>
      <w:r>
        <w:t>(365) This commitment is understood without prejudice to the adjustments that BOYACÁ may consider necessary for a more efficient service provision, preserving the proper functioning of the sales point within normal hours.</w:t>
      </w:r>
    </w:p>
    <w:p>
      <w:r>
        <w:t>(366) However, minimum sales volumes of publications are established, below which BOYACÁ may modify certain conditions (firm sale, decrease the frequency of returns collection, or even abandon the supply).</w:t>
      </w:r>
    </w:p>
    <w:p>
      <w:r>
        <w:t>(367) In relation to new sales points, the commitments are specified in guaranteeing that service will be provided to all sales points that request it under transparent, objective, and non-discriminatory commercial and economic conditions, using as criteria for their establishment: the type of sales point, estimated billing, location (distance), hours, and days of opening. For these purposes, a standard offer will also be developed to be applied by each distributor controlled by BOYACÁ.</w:t>
      </w:r>
    </w:p>
    <w:p>
      <w:r>
        <w:t>(368) Additionally, since BOYACÁ distributes other types of products apart from daily press, BOYACÁ also commits not to require the sales point to provide marketing services for non-editorial products.</w:t>
      </w:r>
    </w:p>
    <w:p>
      <w:r>
        <w:t>(369) Finally, BOYACÁ proposes the adoption of commitments related to the transfer of efficiencies linked to freight, guarantees, and opening expenses, maintaining those currently in force for DIMA without modifications.</w:t>
      </w:r>
    </w:p>
    <w:p>
      <w:r>
        <w:t>(370) In this regard, first, the amount of the guarantee required from sales points is limited, which may not exceed the equivalent of eight weeks of average sales of the establishment. For new sales points, a provision will be made whose amount will also depend on the estimated billing, which will be reviewed after the first year of sales to adapt it to the indicated average sales. In no case will the guarantees or bonds of those sales points that have opted to maintain their current conditions be increased.</w:t>
      </w:r>
    </w:p>
    <w:p>
      <w:r>
        <w:t>(371) Secondly, they propose a proportional reduction of the freight to the efficiencies obtained, valued at 6% of the applied freight, distributed at 3% each year, when the following cumulative circumstances occur: (i) the profit of the companies that will be controlled by BOYACÁ exceeds the average result of that distributor in the four closed financial years prior to the date of the authorization resolution of this operation and (ii) the profit exceeds four times the cost that would result from applying a 3% reduction in freight that year. This reduction will be applied in the two financial years following the one in which the aforementioned circumstances occur.</w:t>
      </w:r>
    </w:p>
    <w:p>
      <w:r>
        <w:t>(372) Additionally, BOYACÁ will reduce the opening expenses by establishing maximum opening expenses of 200 euros.</w:t>
      </w:r>
    </w:p>
    <w:p>
      <w:r>
        <w:t>e) Duration of the commitments</w:t>
      </w:r>
    </w:p>
    <w:p>
      <w:r>
        <w:t>(373) The commitments will be in force for five years from the date of the resolution of the CNC Council approving the reference concentration operation.</w:t>
      </w:r>
    </w:p>
    <w:p>
      <w:r>
        <w:t>f) Confidentiality</w:t>
      </w:r>
    </w:p>
    <w:p>
      <w:r>
        <w:t>(374) In order to guarantee the confidentiality of the data of the publisher clients, BOYACÁ will only provide information to the publishers of its own products and will manage the information through watertight departments that prevent one client from accessing another client's data.</w:t>
      </w:r>
    </w:p>
    <w:p>
      <w:r>
        <w:rPr>
          <w:b/>
        </w:rPr>
        <w:t>[Pages 7–8]</w:t>
      </w:r>
    </w:p>
    <w:p>
      <w:r>
        <w:t>NATIONAL COMPETITION COMMISSION</w:t>
      </w:r>
    </w:p>
    <w:p>
      <w:r>
        <w:t>g) Auditor</w:t>
      </w:r>
    </w:p>
    <w:p>
      <w:r>
        <w:t>(375) BOYACÁ proposes that the supervision of the implementation of the commitments proposed to the CNC be carried out by an independent Auditor, who may be the same one currently overseeing compliance with the commitments adopted by DIMA, extending the mandate he currently has to the rest of the provinces affected by the present concentration, or a new Auditor. The new auditor must be chosen in accordance with the procedure set forth in Annex 1.B of the commitments.</w:t>
      </w:r>
    </w:p>
    <w:p>
      <w:r>
        <w:t>Third.- The CNC Council, having reviewed the processed file and analyzed the report on the operation, agrees with the assessment made by the Investigation Directorate regarding the notified operation, as well as with the Proposal for Resolution in the Second Phase submitted to the Council, since it coincides with it in that the set of commitments proposed by BOYACÁ on July 31, 2013, transcribed in the previous Legal Basis, is sufficient and proportionate to compensate for the risks of hindering effective competition, arising from the concentration operation that had been detected and that were included in the PCH.</w:t>
      </w:r>
    </w:p>
    <w:p>
      <w:r>
        <w:t>The Council also agrees with the Investigation Directorate in its analysis of the ancillary restrictions to the concentration operation and, in particular, with the consideration that the analysis of the exclusive distribution agreements between BOYACÁ and the sellers from the perspective of Article 1 of the LDC, contained in section VIII.1 of the Proposal Report, is carried out without prejudice to a possible application of the prohibitions on collusive agreements and abusive unilateral conduct that may, if applicable, correspond in the future (in particular, sections 206, 385, and 393 of the Proposal Report in the Second Phase).</w:t>
      </w:r>
    </w:p>
    <w:p>
      <w:r>
        <w:t>Fourth.- The Council agrees that it is proportionate to coincide with [...], without the possibility of an extension of the same.</w:t>
      </w:r>
    </w:p>
    <w:p>
      <w:r>
        <w:t>This duration of the commitments begins at the moment when, being executive this resolution, the parties execute the purchase contracts through which the authorized concentration operation is articulated.</w:t>
      </w:r>
    </w:p>
    <w:p>
      <w:r>
        <w:t>Fifth.- In accordance with the provisions of Article 58.6 of the LDC, this Resolution will be executive when any of the assumptions provided for in said article are met.</w:t>
      </w:r>
    </w:p>
    <w:p>
      <w:r>
        <w:t>Sixth.- The non-compliance with the provisions of this Resolution will be considered a very serious infringement according to the provisions of Article 62.4. c) of the LDC.</w:t>
      </w:r>
    </w:p>
    <w:p>
      <w:r>
        <w:t>Therefore, in view of the cited legal provisions and those of general application, the Council of the National Competition Commission,</w:t>
      </w:r>
    </w:p>
    <w:p>
      <w:r>
        <w:t>HAS RESOLVED</w:t>
      </w:r>
    </w:p>
    <w:p>
      <w:r>
        <w:t>NATIONAL COMPETITION COMMISSION</w:t>
      </w:r>
    </w:p>
    <w:p>
      <w:r>
        <w:t>FIRST.- In application of Article 58.4.b) of Law 15/2007, to subordinate the authorization of the concentration C/0508/13 BOYACÁ/REDPRENSA/RDE to the compliance with the commitments proposed by the notifier that are included in the Second Legal Basis of this Resolution.</w:t>
      </w:r>
    </w:p>
    <w:p>
      <w:r>
        <w:t>SECOND.- To establish a duration of the commitments of five years, in the terms set forth in the Fourth Legal Basis of this Resolution.</w:t>
      </w:r>
    </w:p>
    <w:p>
      <w:r>
        <w:t>THIRD.- The non-compliance with the provisions of this Resolution is considered a very serious infringement in accordance with Article 62 of Law 15/2007, which may result in the sanctions provided for in Articles 63 and 67 of the same.</w:t>
      </w:r>
    </w:p>
    <w:p>
      <w:r>
        <w:t>FOURTH.- By virtue of the provisions of Article 35.2.c) of Law 15/2007, the supervision of this Resolution is entrusted to the Investigation Directorate of the National Competition Commission.</w:t>
      </w:r>
    </w:p>
    <w:p>
      <w:r>
        <w:t>This Resolution shall be communicated to the Investigation Directorate of the National Competition Commission and to the Minister of Economy and Competitiveness, as provided in Article 58.5 of Law 15/2007. Likewise, it shall be notified to the interested parties, informing them that this Resolution will not be effective, nor executive, nor will it conclude the administrative procedure if none of the two assumptions provided for in letters a) or b) of Article 58.6 of Law 15/2007 occurs, and that against it, if the administrative procedure is exhausted, a contentious-administrative appeal may be filed before the National Court within two months from the notification of the agreements or from the day on which the deadline for issuing them has elapsed, as provided in the aforementioned letters a) or b) of Article 58.6 of Law 15/2007.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