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https://www.cnmc.es/expedientes/c051013</w:t>
      </w:r>
    </w:p>
    <w:p>
      <w:r>
        <w:t>Pages translated : 1</w:t>
      </w:r>
    </w:p>
    <w:p/>
    <w:p>
      <w:r>
        <w:rPr>
          <w:b/>
        </w:rPr>
        <w:t>[Pages 1–1]</w:t>
      </w:r>
    </w:p>
    <w:p>
      <w:r>
        <w:t>RESOLUTION</w:t>
        <w:br/>
        <w:t>(File No. C-0510/13 ULTIMA ACQUISITION/ INSULATION SPAIN)</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June 12, 2013</w:t>
        <w:br/>
        <w:t>Having reviewed the file processed in accordance with Law 15/2007, of July 3, on</w:t>
        <w:br/>
        <w:t>the Defense of Competition, regarding the acquisition of exclusive control by</w:t>
        <w:br/>
        <w:t>ULTIMA ACQUISITION GB LIMITED of the company INSULATION SPAIN</w:t>
        <w:br/>
        <w:t>HOLDINGS S.L.U through the purchase of 100% of the shares from FOAM</w:t>
        <w:br/>
        <w:t>INVESTMENTS II S.A.R.L. In turn, ARMACELL IBERIA S.L is a subsidiary of ISH.</w:t>
        <w:br/>
        <w:t>(File No. C-0510/13 ULTIMA ACQUISITION/ INSULATION SPAIN),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