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https://www.cnmc.es/expedientes/c051213</w:t>
      </w:r>
    </w:p>
    <w:p>
      <w:r>
        <w:t>Pages translated : 1</w:t>
      </w:r>
    </w:p>
    <w:p/>
    <w:p>
      <w:r>
        <w:rPr>
          <w:b/>
        </w:rPr>
        <w:t>[Pages 1–1]</w:t>
      </w:r>
    </w:p>
    <w:p>
      <w:r>
        <w:t>RESOLUTION</w:t>
        <w:br/>
        <w:t>(File No. C/0512/13 BANCO SABADELL/CAM-AEGON/MEDITERRÁNEO VIDA)</w:t>
        <w:br/>
        <w:t>COUNCIL</w:t>
        <w:br/>
        <w:t>Mr. Joaquín García Bernaldo de Quirós, President</w:t>
        <w:br/>
        <w:t>Ms. Pilar Sánchez Núñez, Vice President</w:t>
        <w:br/>
        <w:t>Mr. Julio Costas Comesaña, Member</w:t>
        <w:br/>
        <w:t>Ms. Mª Jesús González López, Member</w:t>
        <w:br/>
        <w:t>Ms. Inmaculada Gutiérrez Carrizo, Member</w:t>
        <w:br/>
        <w:t>Mr. Luis Díez Martín, Member</w:t>
        <w:br/>
        <w:t>In Madrid, on July 3, 2013</w:t>
      </w:r>
    </w:p>
    <w:p>
      <w:r>
        <w:t>Having reviewed the file processed in accordance with Law 15/2007, of July 3, on the Defense of Competition, regarding the economic concentration operation consisting of the acquisition of exclusive control by BANCO DE SABADELL, S.A. of the company CAM-AEGON Holding Financiero, S.L., previously jointly controlled by BANCO SABADELL and the AEGON Group. File No. (C/0512/13 BANCO SABADELL/CAM-AEGON/MEDITERRÁNEO VIDA)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