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https://www.cnmc.es/expedientes/c051313</w:t>
      </w:r>
    </w:p>
    <w:p>
      <w:r>
        <w:t>Pages translated : 1</w:t>
      </w:r>
    </w:p>
    <w:p/>
    <w:p>
      <w:r>
        <w:rPr>
          <w:b/>
        </w:rPr>
        <w:t>[Pages 1–1]</w:t>
      </w:r>
    </w:p>
    <w:p>
      <w:r>
        <w:t xml:space="preserve">RESOLUTION  </w:t>
        <w:br/>
        <w:t xml:space="preserve">(File No. C-0513/13 TAGADA MERGER SUB./ALLFLEX HOLDINGS)  </w:t>
        <w:br/>
        <w:t xml:space="preserve">COUNCIL  </w:t>
        <w:br/>
        <w:t xml:space="preserve">Mr. Joaquín García Bernaldo de Quirós,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Mr. Luis Díez Martín, Council Member  </w:t>
        <w:br/>
        <w:t xml:space="preserve">In Madrid, on June 26, 2013  </w:t>
        <w:br/>
        <w:t xml:space="preserve">Having reviewed the file processed in accordance with Law 15/2007, of July 3, on the Defense of Competition, regarding the economic concentration operation consisting of the acquisition by TAGADA MERGER SUB, INC. of exclusive control over ALLFLEX HOLDINGS III, INC. (File No. C-0513/13 TAGADA MERGER SUB/ALLFLEX HOLDINGS) and in agreement with the report and proposal submitted by the Investigation Directorate, the Council of the National Commission of Competition has resolved, in application of Article 57.2.a) of the aforementioned Law, to authorize the said concentration operation in the first phase, except for the confidentiality clause if its duration exceeds three years and the buyer's confidentiality obligation, which will be considered outside the operation and, therefore, subject to the regulations on agreements between companies.  </w:t>
        <w:br/>
        <w:t xml:space="preserve">This Resolution shall be communicated to the Investigation Directorate of the National Commission of Competition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