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https://www.cnmc.es/expedientes/c051613</w:t>
      </w:r>
    </w:p>
    <w:p>
      <w:r>
        <w:t>Pages translated : 1</w:t>
      </w:r>
    </w:p>
    <w:p/>
    <w:p>
      <w:r>
        <w:rPr>
          <w:b/>
        </w:rPr>
        <w:t>[Pages 1–1]</w:t>
      </w:r>
    </w:p>
    <w:p>
      <w:r>
        <w:t>RESOLUTION</w:t>
        <w:br/>
        <w:t>(File No. C/0516/13 NOVO A/S / XELLIA GROUP AS)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July 3, 2013</w:t>
        <w:br/>
        <w:t>Having reviewed the file processed in accordance with Law 15/2007, of July 3, on the Defense of Competition, regarding the economic concentration operation consisting of the acquisition by NOVO A/S of exclusive control of XELLIA GROUP AS. File No. (C/0516/13 NOVO A/S / XELLIA GROUP AS) and in agreement with the report and proposal submitted by the Directorate of Investigation, the Council of the National Competition Commission has resolved, in application of Article 57.2.a) of the aforementioned Law, to authorize the said concentration operation in the first phase, except with respect to the part of the confidentiality clause related to the buyer, which remains subject to the control of agreements between companies.</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