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https://www.cnmc.es/expedientes/c051713</w:t>
      </w:r>
    </w:p>
    <w:p>
      <w:r>
        <w:t>Pages translated : 1</w:t>
      </w:r>
    </w:p>
    <w:p/>
    <w:p>
      <w:r>
        <w:rPr>
          <w:b/>
        </w:rPr>
        <w:t>[Pages 1–1]</w:t>
      </w:r>
    </w:p>
    <w:p>
      <w:r>
        <w:t>RESOLUTION</w:t>
        <w:br/>
        <w:t>(File No. C/0517/13 CEMENTOS MOLINS/CEMEX-ASSETS)</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Mr. Luis Díez Martín, Council Member</w:t>
        <w:br/>
        <w:t>In Madrid, on July 30, 2013</w:t>
        <w:br/>
        <w:t>Having reviewed the file processed in accordance with Law 15/2007, of July 3, on the Defense of Competition, concerning the economic concentration operation consisting of the acquisition by CEMENTOS MOLINS INDUSTRIAL S.A. (CMI) of exclusive control over the assets for the production of gray cement located at the manufacturing facility in Sant Feliu de Llogregat (Barcelona) and the associated goodwill from CEMEX ESPAÑA OPERACIONES S.L. (CEOp) (PRODUCTION UNIT), (C/0517/13 CEMENTOS MOLINS/CEMEX-ASSETS)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