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https://www.cnmc.es/expedientes/c052013</w:t>
      </w:r>
    </w:p>
    <w:p>
      <w:r>
        <w:t>Pages translated : 1</w:t>
      </w:r>
    </w:p>
    <w:p/>
    <w:p>
      <w:r>
        <w:rPr>
          <w:b/>
        </w:rPr>
        <w:t>[Pages 1–1]</w:t>
      </w:r>
    </w:p>
    <w:p>
      <w:r>
        <w:t>RESOLUTION</w:t>
        <w:br/>
        <w:t>(File C/0520/13 PHARMEXX / GRUPO EXPANSIS)</w:t>
        <w:br/>
        <w:t>COUNCIL</w:t>
        <w:br/>
        <w:t>Mr. Joaquín García Bernaldo de Quirós, President</w:t>
        <w:br/>
        <w:t>Ms. Pilar Sánchez Núñez, Vice President</w:t>
        <w:br/>
        <w:t>Mr. Julio Costas Comesaña, Councilor</w:t>
        <w:br/>
        <w:t>Ms. Mª Jesús González López, Councilor</w:t>
        <w:br/>
        <w:t>Ms. Inmaculada Gutiérrez Carrizo, Councilor</w:t>
        <w:br/>
        <w:t>In Madrid, on August 19, 2013</w:t>
        <w:br/>
        <w:t>Having reviewed the file processed in accordance with Law 15/2007, of July 3, on the Defense of Competition, regarding the economic concentration operation consisting of the acquisition of exclusive control by PHARMEXX INTERNATIONAL SPAIN, S.L.U. of GRUPO EXPANSIS, S.L. (file C/0520/13)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regard to the non-competition and non-solicitation clause, which is subject to the regulations on agreements between companies for what exceeds three years from its execution and as far as it exceeds the geographical scope corresponding to Spain.</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