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https://www.cnmc.es/expedientes/c052113</w:t>
      </w:r>
    </w:p>
    <w:p>
      <w:r>
        <w:t>Pages translated : 1</w:t>
      </w:r>
    </w:p>
    <w:p/>
    <w:p>
      <w:r>
        <w:rPr>
          <w:b/>
        </w:rPr>
        <w:t>[Pages 1–1]</w:t>
      </w:r>
    </w:p>
    <w:p>
      <w:r>
        <w:t>RESOLUTION</w:t>
        <w:br/>
        <w:t>(File C/0521/13 EADS CASA/ALESTIS)</w:t>
        <w:br/>
        <w:t>COUNCIL</w:t>
        <w:br/>
        <w:t>Ms. Pilar Sánchez Núñez, Vice President</w:t>
        <w:br/>
        <w:t>Mr. Julio Costas Comesaña, Councilor</w:t>
        <w:br/>
        <w:t>Ms. Mª Jesús González López, Councilor</w:t>
        <w:br/>
        <w:t>Ms. Inmaculada Gutiérrez Carrizo, Councilor</w:t>
        <w:br/>
        <w:t>Mr. Luis Díez Martín, Councilor</w:t>
        <w:br/>
        <w:t>In Madrid, on September 4, 2013</w:t>
      </w:r>
    </w:p>
    <w:p>
      <w:r>
        <w:t>Having reviewed the file processed in accordance with Law 15/2007, of July 3, on the Defense of Competition, regarding the economic concentration operation consisting of the acquisition by Grupo EADS Construcciones Aeronáuticas S.A. of exclusive control of Grupo Alestis Aerospace, S.L., dedicated to the manufacturing and marketing of aerostructures, (file C/0521/13) and in agreement with the report and proposal submitted by the Directorate of Investigation, the Council of the National Commission of Competition has resolved, in application of Article 57.2.a) of the aforementioned Law, to authorize the said concentration operation in the first phase.</w:t>
      </w:r>
    </w:p>
    <w:p>
      <w:r>
        <w:t>This Resolution shall be communicated to the Directorate of Investigation of the National Commission of Competition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