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https://www.cnmc.es/expedientes/c052213</w:t>
      </w:r>
    </w:p>
    <w:p>
      <w:r>
        <w:t>Pages translated : 1</w:t>
      </w:r>
    </w:p>
    <w:p/>
    <w:p>
      <w:r>
        <w:rPr>
          <w:b/>
        </w:rPr>
        <w:t>[Pages 1–1]</w:t>
      </w:r>
    </w:p>
    <w:p>
      <w:r>
        <w:t>RESOLUTION</w:t>
        <w:br/>
        <w:t>(File C/0522/13 PROA CAPITAL/IBERMATICA)</w:t>
        <w:br/>
        <w:t>COUNCIL</w:t>
        <w:br/>
        <w:t>Ms. Pilar Sánchez Núñez, Vice President</w:t>
        <w:br/>
        <w:t>Mr. Julio Costas Comesaña, Councilor</w:t>
        <w:br/>
        <w:t>Ms. Mª Jesús González López, Councilor</w:t>
        <w:br/>
        <w:t>Ms. Inmaculada Gutiérrez Carrizo, Councilor</w:t>
        <w:br/>
        <w:t>Mr. Luis Díez Martín, Councilor.</w:t>
      </w:r>
    </w:p>
    <w:p>
      <w:r>
        <w:t>In Madrid, on September 4, 2013</w:t>
      </w:r>
    </w:p>
    <w:p>
      <w:r>
        <w:t>Having reviewed the file processed in accordance with Law 15/2007, of July 3, on the Defense of Competition, regarding the economic concentration operation consisting of the acquisition by PROA CAPITAL DE INVERSIONES, S.G.E.C.R. of exclusive control over the company IBERMATICA S.A. (file C/0522/13)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regarding the non-compete clause which will be subject to the regulations on agreements between companies as far as it exceeds three years and to the service provision clause which will be subject to the regulations on agreements between companies as far as it exceeds five years.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