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https://www.cnmc.es/expedientes/c052313</w:t>
      </w:r>
    </w:p>
    <w:p>
      <w:r>
        <w:t>Pages translated : 1</w:t>
      </w:r>
    </w:p>
    <w:p/>
    <w:p>
      <w:r>
        <w:rPr>
          <w:b/>
        </w:rPr>
        <w:t>[Pages 1–1]</w:t>
      </w:r>
    </w:p>
    <w:p>
      <w:r>
        <w:t xml:space="preserve">RESOLUTION  </w:t>
        <w:br/>
        <w:t xml:space="preserve">(File C/0523/13 CAREFUSION/GROUP SENDAL)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September 18, 2013</w:t>
      </w:r>
    </w:p>
    <w:p>
      <w:r>
        <w:t>Having reviewed the file processed in accordance with Law 15/2007, of July 3, on the Defense of Competition, concerning the economic concentration operation consisting of the acquisition by CAREFUSION SWITZERLAND 317 S.À.R.L. (CAREFUSION) of the entire share capital of GRUPO SENDAL S.L (SENDAL), currently jointly controlled by the Farré Family and the Spanish venture capital fund GED IBERIAN B, FCR of Simplified Regime (GED), (C/0523/13 CAREFUSION/GROUP SENDAL)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