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https://www.cnmc.es/expedientes/c052413</w:t>
      </w:r>
    </w:p>
    <w:p>
      <w:r>
        <w:t>Pages translated : 1</w:t>
      </w:r>
    </w:p>
    <w:p/>
    <w:p>
      <w:r>
        <w:rPr>
          <w:b/>
        </w:rPr>
        <w:t>[Pages 1–1]</w:t>
      </w:r>
    </w:p>
    <w:p>
      <w:r>
        <w:t>RESOLUTION (File C/0524/13 CEMEX ESPAÑA/HOLCIM ASSETS)</w:t>
      </w:r>
    </w:p>
    <w:p>
      <w:r>
        <w:t>COMPETITION CHAMBER OF THE COUNCIL</w:t>
      </w:r>
    </w:p>
    <w:p>
      <w:r>
        <w:t xml:space="preserve">Mr. José María Marín Quemada, President  </w:t>
        <w:br/>
        <w:t xml:space="preserve">Ms. María Ortíz Aguilar, Member  </w:t>
        <w:br/>
        <w:t xml:space="preserve">Mr. Fernando Torremocha y García-Sáenz, Member  </w:t>
        <w:br/>
        <w:t xml:space="preserve">Mr. Benigno Valdés Díaz, Member  </w:t>
        <w:br/>
        <w:t>Ms. Idoia Zenarruzabeitia Beldarraín, Member</w:t>
      </w:r>
    </w:p>
    <w:p>
      <w:r>
        <w:t>In Madrid, on October 24, 2013</w:t>
      </w:r>
    </w:p>
    <w:p>
      <w:r>
        <w:t>Having reviewed the file processed in accordance with Law 15/2007, of July 3, on the Defense of Competition, regarding the economic concentration operation consisting of the acquisition by CEMEX ESPAÑA S.A. of exclusive control over all the assets comprising the business of the HOLCIM GROUP in Spain, except for HOLCIM TRADING S.A.</w:t>
      </w:r>
    </w:p>
    <w:p>
      <w:r>
        <w:t>Having seen the decision adopted by the European Commission on October 18, 2013, in relation to the application submitted by the now-defunct National Competition Commission on September 11, 2013, accepting the referral of the concentration to the European Commission in application of Article 22.2 of Council Regulation (EC) 139/2004 of January 20, 2004, on the control of concentrations between undertakings, and agreeing with the report and proposal submitted by the Directorate of Competition, the Council of the National Markets and Competition Commission in the Competition Chamber has resolved, in application of Article 57.2.d) of Law 15/2007, of July 3, on the Defense of Competition, to file the aforementioned concentration operation.</w:t>
      </w:r>
    </w:p>
    <w:p>
      <w:r>
        <w:t>This Resolution shall be communicated to the Directorate of Competition of the National Markets and Competition Commission and notified to the interested party,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