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https://www.cnmc.es/expedientes/c052513</w:t>
      </w:r>
    </w:p>
    <w:p>
      <w:r>
        <w:t>Pages translated : 1</w:t>
      </w:r>
    </w:p>
    <w:p/>
    <w:p>
      <w:r>
        <w:rPr>
          <w:b/>
        </w:rPr>
        <w:t>[Pages 1–1]</w:t>
      </w:r>
    </w:p>
    <w:p>
      <w:r>
        <w:t>RESOLUTION</w:t>
        <w:br/>
        <w:t>(File No. C/0525/13 FSI/SILFURBERG/BURDARÁS/INVENT FARMA)</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September 18, 2013</w:t>
        <w:br/>
        <w:t>Having reviewed the file processed in accordance with Law 15/2007, of July 3, on the Defense of Competition, concerning the economic concentration operation consisting of the acquisition by FRAMTAKSSJÖDUR ÍSLANDS SLHF (FSI), SILFURBERG EHF (SILFURBERG), and BURDARÁS PE SLHF (BURDARÁS) of joint control of INVENT FARMA EHF (INVENT FARMA), (C/0525/13 FSI/SILFURBERG/BURDARÁS/INVENT FARMA) and in agreement with the report and the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